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8A7E9" w14:textId="77777777" w:rsidR="002B02E2" w:rsidRPr="00C379B3" w:rsidRDefault="002B02E2" w:rsidP="002B02E2">
      <w:pPr>
        <w:rPr>
          <w:rFonts w:asciiTheme="minorHAnsi" w:hAnsiTheme="minorHAnsi" w:cstheme="minorHAnsi"/>
          <w:sz w:val="22"/>
          <w:szCs w:val="22"/>
        </w:rPr>
      </w:pPr>
    </w:p>
    <w:p w14:paraId="173A97DD" w14:textId="77777777" w:rsidR="00635E36" w:rsidRPr="00C379B3" w:rsidRDefault="00635E36" w:rsidP="002B02E2">
      <w:pPr>
        <w:rPr>
          <w:rFonts w:asciiTheme="minorHAnsi" w:hAnsiTheme="minorHAnsi" w:cstheme="minorHAnsi"/>
          <w:sz w:val="22"/>
          <w:szCs w:val="22"/>
        </w:rPr>
      </w:pPr>
      <w:r w:rsidRPr="00C379B3">
        <w:rPr>
          <w:rFonts w:asciiTheme="minorHAnsi" w:hAnsiTheme="minorHAnsi" w:cstheme="minorHAnsi"/>
          <w:sz w:val="22"/>
          <w:szCs w:val="22"/>
        </w:rPr>
        <w:t>Paul Gough</w:t>
      </w:r>
    </w:p>
    <w:p w14:paraId="0AFCC628" w14:textId="2F857C61" w:rsidR="002B02E2" w:rsidRPr="00C379B3" w:rsidRDefault="002B02E2" w:rsidP="002B02E2">
      <w:pPr>
        <w:rPr>
          <w:rFonts w:asciiTheme="minorHAnsi" w:hAnsiTheme="minorHAnsi" w:cstheme="minorHAnsi"/>
          <w:sz w:val="22"/>
          <w:szCs w:val="22"/>
        </w:rPr>
      </w:pPr>
      <w:r w:rsidRPr="00C379B3">
        <w:rPr>
          <w:rFonts w:asciiTheme="minorHAnsi" w:hAnsiTheme="minorHAnsi" w:cstheme="minorHAnsi"/>
          <w:sz w:val="22"/>
          <w:szCs w:val="22"/>
        </w:rPr>
        <w:t>Commissioned chapter in book published in Germany, derived from University of Manchester seminar with Lincoln Institute</w:t>
      </w:r>
      <w:r w:rsidR="00635E36" w:rsidRPr="00C379B3">
        <w:rPr>
          <w:rFonts w:asciiTheme="minorHAnsi" w:hAnsiTheme="minorHAnsi" w:cstheme="minorHAnsi"/>
          <w:sz w:val="22"/>
          <w:szCs w:val="22"/>
        </w:rPr>
        <w:t>, 2015-16</w:t>
      </w:r>
    </w:p>
    <w:p w14:paraId="1E4AA687" w14:textId="77777777" w:rsidR="002B02E2" w:rsidRPr="00C379B3" w:rsidRDefault="002B02E2" w:rsidP="002B02E2">
      <w:pPr>
        <w:rPr>
          <w:rFonts w:asciiTheme="minorHAnsi" w:hAnsiTheme="minorHAnsi" w:cstheme="minorHAnsi"/>
          <w:sz w:val="22"/>
          <w:szCs w:val="22"/>
        </w:rPr>
      </w:pPr>
    </w:p>
    <w:p w14:paraId="30E35326" w14:textId="77777777" w:rsidR="002B02E2" w:rsidRPr="00C379B3" w:rsidRDefault="002B02E2" w:rsidP="002B02E2">
      <w:pPr>
        <w:ind w:left="720"/>
        <w:rPr>
          <w:rFonts w:asciiTheme="minorHAnsi" w:hAnsiTheme="minorHAnsi" w:cstheme="minorHAnsi"/>
          <w:color w:val="0070C0"/>
          <w:sz w:val="22"/>
          <w:szCs w:val="22"/>
        </w:rPr>
      </w:pPr>
      <w:r w:rsidRPr="00C379B3">
        <w:rPr>
          <w:rFonts w:asciiTheme="minorHAnsi" w:hAnsiTheme="minorHAnsi" w:cstheme="minorHAnsi"/>
          <w:color w:val="0070C0"/>
          <w:sz w:val="22"/>
          <w:szCs w:val="22"/>
        </w:rPr>
        <w:t xml:space="preserve">Paul Gough, </w:t>
      </w:r>
      <w:r w:rsidRPr="00C379B3">
        <w:rPr>
          <w:rFonts w:asciiTheme="minorHAnsi" w:hAnsiTheme="minorHAnsi" w:cstheme="minorHAnsi"/>
          <w:i/>
          <w:color w:val="0070C0"/>
          <w:sz w:val="22"/>
          <w:szCs w:val="22"/>
        </w:rPr>
        <w:t>“</w:t>
      </w:r>
      <w:r w:rsidRPr="00C379B3">
        <w:rPr>
          <w:rFonts w:asciiTheme="minorHAnsi" w:hAnsiTheme="minorHAnsi" w:cstheme="minorHAnsi"/>
          <w:color w:val="0070C0"/>
          <w:sz w:val="22"/>
          <w:szCs w:val="22"/>
        </w:rPr>
        <w:t>Turf Wars</w:t>
      </w:r>
      <w:r w:rsidRPr="00C379B3">
        <w:rPr>
          <w:rFonts w:asciiTheme="minorHAnsi" w:hAnsiTheme="minorHAnsi" w:cstheme="minorHAnsi"/>
          <w:i/>
          <w:color w:val="0070C0"/>
          <w:sz w:val="22"/>
          <w:szCs w:val="22"/>
        </w:rPr>
        <w:t>”</w:t>
      </w:r>
      <w:r w:rsidRPr="00C379B3">
        <w:rPr>
          <w:rFonts w:asciiTheme="minorHAnsi" w:hAnsiTheme="minorHAnsi" w:cstheme="minorHAnsi"/>
          <w:color w:val="0070C0"/>
          <w:sz w:val="22"/>
          <w:szCs w:val="22"/>
        </w:rPr>
        <w:t xml:space="preserve">: grass, greenery and the spatiality of commemoration. Recurring debates and disputes in the uses of horticultural iconography by the Commonwealth War Graves Commission in northern Europe, in John Rodwell and Peter Manley Scott (eds.), </w:t>
      </w:r>
      <w:r w:rsidRPr="00C379B3">
        <w:rPr>
          <w:rFonts w:asciiTheme="minorHAnsi" w:hAnsiTheme="minorHAnsi" w:cstheme="minorHAnsi"/>
          <w:i/>
          <w:color w:val="0070C0"/>
          <w:sz w:val="22"/>
          <w:szCs w:val="22"/>
          <w:shd w:val="clear" w:color="auto" w:fill="FFFFFF"/>
        </w:rPr>
        <w:t xml:space="preserve">Heimat &amp; Belonging: </w:t>
      </w:r>
      <w:r w:rsidRPr="00C379B3">
        <w:rPr>
          <w:rFonts w:asciiTheme="minorHAnsi" w:hAnsiTheme="minorHAnsi" w:cstheme="minorHAnsi"/>
          <w:i/>
          <w:color w:val="0070C0"/>
          <w:sz w:val="22"/>
          <w:szCs w:val="22"/>
        </w:rPr>
        <w:t>At Home in the Future (</w:t>
      </w:r>
      <w:r w:rsidRPr="00C379B3">
        <w:rPr>
          <w:rFonts w:asciiTheme="minorHAnsi" w:hAnsiTheme="minorHAnsi" w:cstheme="minorHAnsi"/>
          <w:color w:val="0070C0"/>
          <w:sz w:val="22"/>
          <w:szCs w:val="22"/>
        </w:rPr>
        <w:t>LIT Verlag, 2016).</w:t>
      </w:r>
    </w:p>
    <w:p w14:paraId="7D4DF03C" w14:textId="320627DB" w:rsidR="00635E36" w:rsidRPr="00C379B3" w:rsidRDefault="00635E36">
      <w:pPr>
        <w:rPr>
          <w:rFonts w:asciiTheme="minorHAnsi" w:hAnsiTheme="minorHAnsi" w:cstheme="minorHAnsi"/>
          <w:sz w:val="22"/>
          <w:szCs w:val="22"/>
        </w:rPr>
      </w:pPr>
    </w:p>
    <w:p w14:paraId="0B0AD45C" w14:textId="77777777" w:rsidR="00125B08" w:rsidRPr="00C379B3" w:rsidRDefault="00125B08" w:rsidP="00125B08">
      <w:pPr>
        <w:jc w:val="both"/>
        <w:rPr>
          <w:rFonts w:asciiTheme="minorHAnsi" w:hAnsiTheme="minorHAnsi" w:cstheme="minorHAnsi"/>
          <w:b/>
          <w:sz w:val="22"/>
          <w:szCs w:val="22"/>
          <w:lang w:val="en-US"/>
        </w:rPr>
      </w:pPr>
      <w:r w:rsidRPr="00C379B3">
        <w:rPr>
          <w:rFonts w:asciiTheme="minorHAnsi" w:hAnsiTheme="minorHAnsi" w:cstheme="minorHAnsi"/>
          <w:b/>
          <w:sz w:val="22"/>
          <w:szCs w:val="22"/>
          <w:lang w:val="en-US"/>
        </w:rPr>
        <w:t>Introduction – discourse and debates</w:t>
      </w:r>
    </w:p>
    <w:p w14:paraId="39818518" w14:textId="77777777" w:rsidR="00125B08" w:rsidRPr="00C379B3" w:rsidRDefault="00125B08" w:rsidP="00125B08">
      <w:pPr>
        <w:jc w:val="both"/>
        <w:rPr>
          <w:rFonts w:asciiTheme="minorHAnsi" w:hAnsiTheme="minorHAnsi" w:cstheme="minorHAnsi"/>
          <w:sz w:val="22"/>
          <w:szCs w:val="22"/>
          <w:lang w:val="en-US"/>
        </w:rPr>
      </w:pPr>
    </w:p>
    <w:p w14:paraId="38DBC1FC" w14:textId="77777777" w:rsidR="00125B08" w:rsidRPr="00C379B3" w:rsidRDefault="00125B08" w:rsidP="00125B08">
      <w:pPr>
        <w:jc w:val="both"/>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Where once geographers could argue that the ideological issues surrounding the quintessential character of English and Empire military cemeteries had drawn little comment, there is now a considerable literature exploring the space and place of remembrance. Increasing attention has been paid during the past decade to the value of </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situation</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 xml:space="preserve"> in the discourse of death, grieving and commemoration. In this respect, </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situation</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 xml:space="preserve"> should be understood to be a focus on </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place</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 xml:space="preserve">, </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space</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 xml:space="preserve"> and the geopolitical (Gillis 1994). The emerging discipline of cultural geography in the late 1990s created the tools necessary to elaborate </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space</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 xml:space="preserve"> in the abstract, to regard </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place</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 xml:space="preserve"> as a site where an individual might negotiate definitively social relations, and give voice, as Sara Blair argued, to </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the effects of dislocation, disembodiment, and localization that constitute contemporary social disorder.</w:t>
      </w:r>
      <w:r w:rsidRPr="00C379B3">
        <w:rPr>
          <w:rFonts w:asciiTheme="minorHAnsi" w:hAnsiTheme="minorHAnsi" w:cstheme="minorHAnsi"/>
          <w:i/>
          <w:sz w:val="22"/>
          <w:szCs w:val="22"/>
          <w:lang w:val="en-US"/>
        </w:rPr>
        <w:t>”</w:t>
      </w:r>
      <w:r w:rsidRPr="00C379B3">
        <w:rPr>
          <w:rFonts w:asciiTheme="minorHAnsi" w:hAnsiTheme="minorHAnsi" w:cstheme="minorHAnsi"/>
          <w:sz w:val="22"/>
          <w:szCs w:val="22"/>
          <w:vertAlign w:val="superscript"/>
          <w:lang w:val="en-US"/>
        </w:rPr>
        <w:footnoteReference w:id="1"/>
      </w:r>
      <w:r w:rsidRPr="00C379B3">
        <w:rPr>
          <w:rFonts w:asciiTheme="minorHAnsi" w:hAnsiTheme="minorHAnsi" w:cstheme="minorHAnsi"/>
          <w:i/>
          <w:sz w:val="22"/>
          <w:szCs w:val="22"/>
          <w:lang w:val="en-US"/>
        </w:rPr>
        <w:t xml:space="preserve"> </w:t>
      </w:r>
      <w:r w:rsidRPr="00C379B3">
        <w:rPr>
          <w:rFonts w:asciiTheme="minorHAnsi" w:hAnsiTheme="minorHAnsi" w:cstheme="minorHAnsi"/>
          <w:sz w:val="22"/>
          <w:szCs w:val="22"/>
          <w:lang w:val="en-US"/>
        </w:rPr>
        <w:t xml:space="preserve"> In our post-historical era, further argues Blair, temporality has largely been superseded by spatiality, what has been termed the affective and social experience of space. Almost a century after Freud’s treatise </w:t>
      </w:r>
      <w:r w:rsidRPr="00C379B3">
        <w:rPr>
          <w:rFonts w:asciiTheme="minorHAnsi" w:hAnsiTheme="minorHAnsi" w:cstheme="minorHAnsi"/>
          <w:i/>
          <w:sz w:val="22"/>
          <w:szCs w:val="22"/>
          <w:lang w:val="en-US"/>
        </w:rPr>
        <w:t>Mourning and Melancholia</w:t>
      </w:r>
      <w:r w:rsidRPr="00C379B3">
        <w:rPr>
          <w:rFonts w:asciiTheme="minorHAnsi" w:hAnsiTheme="minorHAnsi" w:cstheme="minorHAnsi"/>
          <w:sz w:val="22"/>
          <w:szCs w:val="22"/>
          <w:lang w:val="en-US"/>
        </w:rPr>
        <w:t xml:space="preserve"> (1917), our understanding of how memory and mourning function continues to be challenged, revised, and refined. Issues of place have become important to this debate. Once a marginal topic for academic investigation, there is now a body of scholarly work exploring the complex interrelationship between memory, mourning and what might be termed </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death-</w:t>
      </w:r>
      <w:proofErr w:type="spellStart"/>
      <w:r w:rsidRPr="00C379B3">
        <w:rPr>
          <w:rFonts w:asciiTheme="minorHAnsi" w:hAnsiTheme="minorHAnsi" w:cstheme="minorHAnsi"/>
          <w:sz w:val="22"/>
          <w:szCs w:val="22"/>
          <w:lang w:val="en-US"/>
        </w:rPr>
        <w:t>scapes</w:t>
      </w:r>
      <w:proofErr w:type="spellEnd"/>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 xml:space="preserve">. Indeed, this fascination with places of death and dying has given rise to myriad academic explorations spawning academic disciplines such as dark- or </w:t>
      </w:r>
      <w:proofErr w:type="spellStart"/>
      <w:r w:rsidRPr="00C379B3">
        <w:rPr>
          <w:rFonts w:asciiTheme="minorHAnsi" w:hAnsiTheme="minorHAnsi" w:cstheme="minorHAnsi"/>
          <w:sz w:val="22"/>
          <w:szCs w:val="22"/>
          <w:lang w:val="en-US"/>
        </w:rPr>
        <w:t>thana</w:t>
      </w:r>
      <w:proofErr w:type="spellEnd"/>
      <w:r w:rsidRPr="00C379B3">
        <w:rPr>
          <w:rFonts w:asciiTheme="minorHAnsi" w:hAnsiTheme="minorHAnsi" w:cstheme="minorHAnsi"/>
          <w:sz w:val="22"/>
          <w:szCs w:val="22"/>
          <w:lang w:val="en-US"/>
        </w:rPr>
        <w:t xml:space="preserve">-tourism, which is an extreme form of grief-incited travel to distant prisons, castles, and abandoned battlefields where anthropological enquiry can be conducted. Suspicions of a release of </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recreational grief</w:t>
      </w:r>
      <w:r w:rsidRPr="00C379B3">
        <w:rPr>
          <w:rFonts w:asciiTheme="minorHAnsi" w:hAnsiTheme="minorHAnsi" w:cstheme="minorHAnsi"/>
          <w:i/>
          <w:sz w:val="22"/>
          <w:szCs w:val="22"/>
          <w:lang w:val="en-US"/>
        </w:rPr>
        <w:t>”</w:t>
      </w:r>
      <w:r w:rsidRPr="00C379B3">
        <w:rPr>
          <w:rFonts w:asciiTheme="minorHAnsi" w:hAnsiTheme="minorHAnsi" w:cstheme="minorHAnsi"/>
          <w:sz w:val="22"/>
          <w:szCs w:val="22"/>
          <w:lang w:val="en-US"/>
        </w:rPr>
        <w:t xml:space="preserve"> aroused after the death of Princess Diana in 1997 have also provided sociologists with considerable material for scholarly attention (Walter 1999).</w:t>
      </w:r>
    </w:p>
    <w:p w14:paraId="61ADB956" w14:textId="77777777" w:rsidR="00125B08" w:rsidRPr="00C379B3" w:rsidRDefault="00125B08" w:rsidP="00125B08">
      <w:pPr>
        <w:jc w:val="both"/>
        <w:rPr>
          <w:rFonts w:asciiTheme="minorHAnsi" w:hAnsiTheme="minorHAnsi" w:cstheme="minorHAnsi"/>
          <w:sz w:val="22"/>
          <w:szCs w:val="22"/>
          <w:lang w:val="en-US"/>
        </w:rPr>
      </w:pPr>
    </w:p>
    <w:p w14:paraId="3133D25A" w14:textId="2C199FB6" w:rsidR="00635E36" w:rsidRPr="00C379B3" w:rsidRDefault="00635E36">
      <w:pPr>
        <w:rPr>
          <w:rFonts w:asciiTheme="minorHAnsi" w:hAnsiTheme="minorHAnsi" w:cstheme="minorHAnsi"/>
          <w:sz w:val="22"/>
          <w:szCs w:val="22"/>
        </w:rPr>
      </w:pPr>
    </w:p>
    <w:p w14:paraId="2BC83555" w14:textId="77777777" w:rsidR="00635E36" w:rsidRPr="00C379B3" w:rsidRDefault="00635E36" w:rsidP="00635E36">
      <w:pPr>
        <w:numPr>
          <w:ilvl w:val="0"/>
          <w:numId w:val="1"/>
        </w:numPr>
        <w:spacing w:after="83"/>
        <w:ind w:left="270"/>
        <w:rPr>
          <w:rFonts w:asciiTheme="minorHAnsi" w:hAnsiTheme="minorHAnsi" w:cstheme="minorHAnsi"/>
          <w:color w:val="111111"/>
          <w:sz w:val="22"/>
          <w:szCs w:val="22"/>
        </w:rPr>
      </w:pPr>
      <w:r w:rsidRPr="00C379B3">
        <w:rPr>
          <w:rStyle w:val="a-text-bold"/>
          <w:rFonts w:asciiTheme="minorHAnsi" w:hAnsiTheme="minorHAnsi" w:cstheme="minorHAnsi"/>
          <w:color w:val="111111"/>
          <w:sz w:val="22"/>
          <w:szCs w:val="22"/>
        </w:rPr>
        <w:t>Paperback :</w:t>
      </w:r>
      <w:r w:rsidRPr="00C379B3">
        <w:rPr>
          <w:rStyle w:val="apple-converted-space"/>
          <w:rFonts w:asciiTheme="minorHAnsi" w:hAnsiTheme="minorHAnsi" w:cstheme="minorHAnsi"/>
          <w:color w:val="111111"/>
          <w:sz w:val="22"/>
          <w:szCs w:val="22"/>
        </w:rPr>
        <w:t> </w:t>
      </w:r>
      <w:r w:rsidRPr="00C379B3">
        <w:rPr>
          <w:rStyle w:val="a-list-item"/>
          <w:rFonts w:asciiTheme="minorHAnsi" w:hAnsiTheme="minorHAnsi" w:cstheme="minorHAnsi"/>
          <w:color w:val="111111"/>
          <w:sz w:val="22"/>
          <w:szCs w:val="22"/>
        </w:rPr>
        <w:t>216 pages</w:t>
      </w:r>
    </w:p>
    <w:p w14:paraId="3AB2CE5A" w14:textId="77777777" w:rsidR="00635E36" w:rsidRPr="00C379B3" w:rsidRDefault="00635E36" w:rsidP="00635E36">
      <w:pPr>
        <w:numPr>
          <w:ilvl w:val="0"/>
          <w:numId w:val="1"/>
        </w:numPr>
        <w:spacing w:after="83"/>
        <w:ind w:left="270"/>
        <w:rPr>
          <w:rFonts w:asciiTheme="minorHAnsi" w:hAnsiTheme="minorHAnsi" w:cstheme="minorHAnsi"/>
          <w:color w:val="111111"/>
          <w:sz w:val="22"/>
          <w:szCs w:val="22"/>
        </w:rPr>
      </w:pPr>
      <w:r w:rsidRPr="00C379B3">
        <w:rPr>
          <w:rStyle w:val="a-text-bold"/>
          <w:rFonts w:asciiTheme="minorHAnsi" w:hAnsiTheme="minorHAnsi" w:cstheme="minorHAnsi"/>
          <w:color w:val="111111"/>
          <w:sz w:val="22"/>
          <w:szCs w:val="22"/>
        </w:rPr>
        <w:t>ISBN-10 :</w:t>
      </w:r>
      <w:r w:rsidRPr="00C379B3">
        <w:rPr>
          <w:rStyle w:val="apple-converted-space"/>
          <w:rFonts w:asciiTheme="minorHAnsi" w:hAnsiTheme="minorHAnsi" w:cstheme="minorHAnsi"/>
          <w:color w:val="111111"/>
          <w:sz w:val="22"/>
          <w:szCs w:val="22"/>
        </w:rPr>
        <w:t> </w:t>
      </w:r>
      <w:r w:rsidRPr="00C379B3">
        <w:rPr>
          <w:rStyle w:val="a-list-item"/>
          <w:rFonts w:asciiTheme="minorHAnsi" w:hAnsiTheme="minorHAnsi" w:cstheme="minorHAnsi"/>
          <w:color w:val="111111"/>
          <w:sz w:val="22"/>
          <w:szCs w:val="22"/>
        </w:rPr>
        <w:t>3643906382</w:t>
      </w:r>
    </w:p>
    <w:p w14:paraId="78A32FAE" w14:textId="77777777" w:rsidR="00635E36" w:rsidRPr="00C379B3" w:rsidRDefault="00635E36" w:rsidP="00635E36">
      <w:pPr>
        <w:numPr>
          <w:ilvl w:val="0"/>
          <w:numId w:val="1"/>
        </w:numPr>
        <w:spacing w:after="83"/>
        <w:ind w:left="270"/>
        <w:rPr>
          <w:rFonts w:asciiTheme="minorHAnsi" w:hAnsiTheme="minorHAnsi" w:cstheme="minorHAnsi"/>
          <w:color w:val="111111"/>
          <w:sz w:val="22"/>
          <w:szCs w:val="22"/>
        </w:rPr>
      </w:pPr>
      <w:r w:rsidRPr="00C379B3">
        <w:rPr>
          <w:rStyle w:val="a-text-bold"/>
          <w:rFonts w:asciiTheme="minorHAnsi" w:hAnsiTheme="minorHAnsi" w:cstheme="minorHAnsi"/>
          <w:color w:val="111111"/>
          <w:sz w:val="22"/>
          <w:szCs w:val="22"/>
        </w:rPr>
        <w:t>ISBN-13 :</w:t>
      </w:r>
      <w:r w:rsidRPr="00C379B3">
        <w:rPr>
          <w:rStyle w:val="apple-converted-space"/>
          <w:rFonts w:asciiTheme="minorHAnsi" w:hAnsiTheme="minorHAnsi" w:cstheme="minorHAnsi"/>
          <w:color w:val="111111"/>
          <w:sz w:val="22"/>
          <w:szCs w:val="22"/>
        </w:rPr>
        <w:t> </w:t>
      </w:r>
      <w:r w:rsidRPr="00C379B3">
        <w:rPr>
          <w:rStyle w:val="a-list-item"/>
          <w:rFonts w:asciiTheme="minorHAnsi" w:hAnsiTheme="minorHAnsi" w:cstheme="minorHAnsi"/>
          <w:color w:val="111111"/>
          <w:sz w:val="22"/>
          <w:szCs w:val="22"/>
        </w:rPr>
        <w:t>978-3643906380</w:t>
      </w:r>
    </w:p>
    <w:p w14:paraId="27691003" w14:textId="77777777" w:rsidR="00635E36" w:rsidRPr="00C379B3" w:rsidRDefault="00635E36" w:rsidP="00635E36">
      <w:pPr>
        <w:numPr>
          <w:ilvl w:val="0"/>
          <w:numId w:val="1"/>
        </w:numPr>
        <w:spacing w:after="83"/>
        <w:ind w:left="270"/>
        <w:rPr>
          <w:rFonts w:asciiTheme="minorHAnsi" w:hAnsiTheme="minorHAnsi" w:cstheme="minorHAnsi"/>
          <w:color w:val="111111"/>
          <w:sz w:val="22"/>
          <w:szCs w:val="22"/>
        </w:rPr>
      </w:pPr>
      <w:r w:rsidRPr="00C379B3">
        <w:rPr>
          <w:rStyle w:val="a-text-bold"/>
          <w:rFonts w:asciiTheme="minorHAnsi" w:hAnsiTheme="minorHAnsi" w:cstheme="minorHAnsi"/>
          <w:color w:val="111111"/>
          <w:sz w:val="22"/>
          <w:szCs w:val="22"/>
        </w:rPr>
        <w:t>Product Dimensions :</w:t>
      </w:r>
      <w:r w:rsidRPr="00C379B3">
        <w:rPr>
          <w:rStyle w:val="apple-converted-space"/>
          <w:rFonts w:asciiTheme="minorHAnsi" w:hAnsiTheme="minorHAnsi" w:cstheme="minorHAnsi"/>
          <w:color w:val="111111"/>
          <w:sz w:val="22"/>
          <w:szCs w:val="22"/>
        </w:rPr>
        <w:t> </w:t>
      </w:r>
      <w:r w:rsidRPr="00C379B3">
        <w:rPr>
          <w:rStyle w:val="a-list-item"/>
          <w:rFonts w:asciiTheme="minorHAnsi" w:hAnsiTheme="minorHAnsi" w:cstheme="minorHAnsi"/>
          <w:color w:val="111111"/>
          <w:sz w:val="22"/>
          <w:szCs w:val="22"/>
        </w:rPr>
        <w:t>15.88 x 1.52 x 22.86 cm</w:t>
      </w:r>
    </w:p>
    <w:p w14:paraId="049808DA" w14:textId="77777777" w:rsidR="00635E36" w:rsidRPr="00C379B3" w:rsidRDefault="00635E36" w:rsidP="00635E36">
      <w:pPr>
        <w:numPr>
          <w:ilvl w:val="0"/>
          <w:numId w:val="1"/>
        </w:numPr>
        <w:spacing w:after="83"/>
        <w:ind w:left="270"/>
        <w:rPr>
          <w:rFonts w:asciiTheme="minorHAnsi" w:hAnsiTheme="minorHAnsi" w:cstheme="minorHAnsi"/>
          <w:color w:val="111111"/>
          <w:sz w:val="22"/>
          <w:szCs w:val="22"/>
        </w:rPr>
      </w:pPr>
      <w:r w:rsidRPr="00C379B3">
        <w:rPr>
          <w:rStyle w:val="a-text-bold"/>
          <w:rFonts w:asciiTheme="minorHAnsi" w:hAnsiTheme="minorHAnsi" w:cstheme="minorHAnsi"/>
          <w:color w:val="111111"/>
          <w:sz w:val="22"/>
          <w:szCs w:val="22"/>
        </w:rPr>
        <w:t>Publisher :</w:t>
      </w:r>
      <w:r w:rsidRPr="00C379B3">
        <w:rPr>
          <w:rStyle w:val="apple-converted-space"/>
          <w:rFonts w:asciiTheme="minorHAnsi" w:hAnsiTheme="minorHAnsi" w:cstheme="minorHAnsi"/>
          <w:color w:val="111111"/>
          <w:sz w:val="22"/>
          <w:szCs w:val="22"/>
        </w:rPr>
        <w:t> </w:t>
      </w:r>
      <w:r w:rsidRPr="00C379B3">
        <w:rPr>
          <w:rStyle w:val="a-list-item"/>
          <w:rFonts w:asciiTheme="minorHAnsi" w:hAnsiTheme="minorHAnsi" w:cstheme="minorHAnsi"/>
          <w:color w:val="111111"/>
          <w:sz w:val="22"/>
          <w:szCs w:val="22"/>
        </w:rPr>
        <w:t>Lit Verlag (31 May 2016)</w:t>
      </w:r>
    </w:p>
    <w:p w14:paraId="5E28FA3A" w14:textId="0954C16C" w:rsidR="008F2EA0" w:rsidRPr="00C379B3" w:rsidRDefault="00635E36" w:rsidP="009555FE">
      <w:pPr>
        <w:numPr>
          <w:ilvl w:val="0"/>
          <w:numId w:val="1"/>
        </w:numPr>
        <w:spacing w:after="83"/>
        <w:ind w:left="270"/>
        <w:rPr>
          <w:rFonts w:asciiTheme="minorHAnsi" w:hAnsiTheme="minorHAnsi" w:cstheme="minorHAnsi"/>
          <w:color w:val="111111"/>
          <w:sz w:val="22"/>
          <w:szCs w:val="22"/>
        </w:rPr>
      </w:pPr>
      <w:r w:rsidRPr="00C379B3">
        <w:rPr>
          <w:rStyle w:val="a-text-bold"/>
          <w:rFonts w:asciiTheme="minorHAnsi" w:hAnsiTheme="minorHAnsi" w:cstheme="minorHAnsi"/>
          <w:color w:val="111111"/>
          <w:sz w:val="22"/>
          <w:szCs w:val="22"/>
        </w:rPr>
        <w:t>Language: :</w:t>
      </w:r>
      <w:r w:rsidRPr="00C379B3">
        <w:rPr>
          <w:rStyle w:val="apple-converted-space"/>
          <w:rFonts w:asciiTheme="minorHAnsi" w:hAnsiTheme="minorHAnsi" w:cstheme="minorHAnsi"/>
          <w:color w:val="111111"/>
          <w:sz w:val="22"/>
          <w:szCs w:val="22"/>
        </w:rPr>
        <w:t> </w:t>
      </w:r>
      <w:r w:rsidRPr="00C379B3">
        <w:rPr>
          <w:rStyle w:val="a-list-item"/>
          <w:rFonts w:asciiTheme="minorHAnsi" w:hAnsiTheme="minorHAnsi" w:cstheme="minorHAnsi"/>
          <w:color w:val="111111"/>
          <w:sz w:val="22"/>
          <w:szCs w:val="22"/>
        </w:rPr>
        <w:t>English</w:t>
      </w:r>
    </w:p>
    <w:p w14:paraId="138D07F5" w14:textId="77777777" w:rsidR="009555FE" w:rsidRPr="00C379B3" w:rsidRDefault="009555FE" w:rsidP="009555FE">
      <w:pPr>
        <w:spacing w:after="83"/>
        <w:ind w:left="270"/>
        <w:rPr>
          <w:rFonts w:asciiTheme="minorHAnsi" w:hAnsiTheme="minorHAnsi" w:cstheme="minorHAnsi"/>
          <w:color w:val="111111"/>
          <w:sz w:val="22"/>
          <w:szCs w:val="22"/>
        </w:rPr>
      </w:pPr>
    </w:p>
    <w:p w14:paraId="5C5F243C" w14:textId="72E888D5" w:rsidR="008F2EA0" w:rsidRPr="00C379B3" w:rsidRDefault="009555FE">
      <w:pPr>
        <w:rPr>
          <w:rFonts w:asciiTheme="minorHAnsi" w:hAnsiTheme="minorHAnsi" w:cstheme="minorHAnsi"/>
          <w:sz w:val="22"/>
          <w:szCs w:val="22"/>
        </w:rPr>
      </w:pPr>
      <w:hyperlink r:id="rId7" w:history="1">
        <w:r w:rsidRPr="00C379B3">
          <w:rPr>
            <w:rStyle w:val="Hyperlink"/>
            <w:rFonts w:asciiTheme="minorHAnsi" w:hAnsiTheme="minorHAnsi" w:cstheme="minorHAnsi"/>
            <w:sz w:val="22"/>
            <w:szCs w:val="22"/>
          </w:rPr>
          <w:t>pgough@aub.ac.uk</w:t>
        </w:r>
      </w:hyperlink>
    </w:p>
    <w:p w14:paraId="41EA2FB0" w14:textId="0FFA5838" w:rsidR="009555FE" w:rsidRDefault="009555FE">
      <w:pPr>
        <w:rPr>
          <w:rFonts w:asciiTheme="minorHAnsi" w:hAnsiTheme="minorHAnsi" w:cstheme="minorHAnsi"/>
          <w:sz w:val="22"/>
          <w:szCs w:val="22"/>
        </w:rPr>
      </w:pPr>
    </w:p>
    <w:p w14:paraId="12170DBA" w14:textId="19764096" w:rsidR="00C379B3" w:rsidRDefault="00C379B3">
      <w:pPr>
        <w:rPr>
          <w:rFonts w:asciiTheme="minorHAnsi" w:hAnsiTheme="minorHAnsi" w:cstheme="minorHAnsi"/>
          <w:sz w:val="22"/>
          <w:szCs w:val="22"/>
        </w:rPr>
      </w:pPr>
    </w:p>
    <w:p w14:paraId="68986DD1" w14:textId="3AB9D506" w:rsidR="00C379B3" w:rsidRDefault="00C379B3">
      <w:pPr>
        <w:rPr>
          <w:rFonts w:asciiTheme="minorHAnsi" w:hAnsiTheme="minorHAnsi" w:cstheme="minorHAnsi"/>
          <w:sz w:val="22"/>
          <w:szCs w:val="22"/>
        </w:rPr>
      </w:pPr>
    </w:p>
    <w:p w14:paraId="062E28D1" w14:textId="77777777" w:rsidR="00C379B3" w:rsidRPr="00C379B3" w:rsidRDefault="00C379B3">
      <w:pPr>
        <w:rPr>
          <w:rFonts w:asciiTheme="minorHAnsi" w:hAnsiTheme="minorHAnsi" w:cstheme="minorHAnsi"/>
          <w:sz w:val="22"/>
          <w:szCs w:val="22"/>
        </w:rPr>
      </w:pPr>
    </w:p>
    <w:p w14:paraId="043D47F3" w14:textId="77777777" w:rsidR="009555FE" w:rsidRPr="00C379B3" w:rsidRDefault="009555FE" w:rsidP="009555FE">
      <w:pPr>
        <w:rPr>
          <w:rFonts w:asciiTheme="minorHAnsi" w:hAnsiTheme="minorHAnsi" w:cstheme="minorHAnsi"/>
          <w:b/>
          <w:sz w:val="22"/>
          <w:szCs w:val="22"/>
          <w:lang w:val="en-US"/>
        </w:rPr>
      </w:pPr>
      <w:r w:rsidRPr="00C379B3">
        <w:rPr>
          <w:rFonts w:asciiTheme="minorHAnsi" w:hAnsiTheme="minorHAnsi" w:cstheme="minorHAnsi"/>
          <w:b/>
          <w:sz w:val="22"/>
          <w:szCs w:val="22"/>
          <w:lang w:val="en-US"/>
        </w:rPr>
        <w:lastRenderedPageBreak/>
        <w:t>References</w:t>
      </w:r>
    </w:p>
    <w:p w14:paraId="3DFDF50B" w14:textId="77777777" w:rsidR="009555FE" w:rsidRPr="00C379B3" w:rsidRDefault="009555FE" w:rsidP="009555FE">
      <w:pPr>
        <w:rPr>
          <w:rFonts w:asciiTheme="minorHAnsi" w:hAnsiTheme="minorHAnsi" w:cstheme="minorHAnsi"/>
          <w:sz w:val="22"/>
          <w:szCs w:val="22"/>
          <w:lang w:val="en-US"/>
        </w:rPr>
      </w:pPr>
    </w:p>
    <w:p w14:paraId="52AE7C12" w14:textId="77777777" w:rsidR="009555FE" w:rsidRPr="00C379B3" w:rsidRDefault="009555FE" w:rsidP="009555FE">
      <w:pPr>
        <w:rPr>
          <w:rFonts w:asciiTheme="minorHAnsi" w:hAnsiTheme="minorHAnsi" w:cstheme="minorHAnsi"/>
          <w:sz w:val="22"/>
          <w:szCs w:val="22"/>
          <w:lang w:val="en-US"/>
        </w:rPr>
      </w:pPr>
    </w:p>
    <w:p w14:paraId="0ADAADA9"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Ashworth, Graham and Graham, Brian (eds.) (2005), </w:t>
      </w:r>
      <w:r w:rsidRPr="00C379B3">
        <w:rPr>
          <w:rFonts w:asciiTheme="minorHAnsi" w:hAnsiTheme="minorHAnsi" w:cstheme="minorHAnsi"/>
          <w:i/>
          <w:sz w:val="22"/>
          <w:szCs w:val="22"/>
          <w:lang w:val="en-US"/>
        </w:rPr>
        <w:t>Senses of Place: Senses of Time</w:t>
      </w:r>
      <w:r w:rsidRPr="00C379B3">
        <w:rPr>
          <w:rFonts w:asciiTheme="minorHAnsi" w:hAnsiTheme="minorHAnsi" w:cstheme="minorHAnsi"/>
          <w:sz w:val="22"/>
          <w:szCs w:val="22"/>
          <w:lang w:val="en-US"/>
        </w:rPr>
        <w:t>, London: Ashgate.</w:t>
      </w:r>
    </w:p>
    <w:p w14:paraId="0244EE30" w14:textId="77777777" w:rsidR="009555FE" w:rsidRPr="00C379B3" w:rsidRDefault="009555FE" w:rsidP="009555FE">
      <w:pPr>
        <w:rPr>
          <w:rFonts w:asciiTheme="minorHAnsi" w:hAnsiTheme="minorHAnsi" w:cstheme="minorHAnsi"/>
          <w:sz w:val="22"/>
          <w:szCs w:val="22"/>
          <w:lang w:val="en-US"/>
        </w:rPr>
      </w:pPr>
    </w:p>
    <w:p w14:paraId="297246FC"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Barnes, Julian (1995), </w:t>
      </w:r>
      <w:r w:rsidRPr="00C379B3">
        <w:rPr>
          <w:rFonts w:asciiTheme="minorHAnsi" w:hAnsiTheme="minorHAnsi" w:cstheme="minorHAnsi"/>
          <w:i/>
          <w:sz w:val="22"/>
          <w:szCs w:val="22"/>
          <w:lang w:val="en-US"/>
        </w:rPr>
        <w:t xml:space="preserve">Cross Channel, </w:t>
      </w:r>
      <w:r w:rsidRPr="00C379B3">
        <w:rPr>
          <w:rFonts w:asciiTheme="minorHAnsi" w:hAnsiTheme="minorHAnsi" w:cstheme="minorHAnsi"/>
          <w:sz w:val="22"/>
          <w:szCs w:val="22"/>
          <w:lang w:val="en-US"/>
        </w:rPr>
        <w:t>London: Jonathan Cape.</w:t>
      </w:r>
    </w:p>
    <w:p w14:paraId="2019F716" w14:textId="77777777" w:rsidR="009555FE" w:rsidRPr="00C379B3" w:rsidRDefault="009555FE" w:rsidP="009555FE">
      <w:pPr>
        <w:rPr>
          <w:rFonts w:asciiTheme="minorHAnsi" w:hAnsiTheme="minorHAnsi" w:cstheme="minorHAnsi"/>
          <w:sz w:val="22"/>
          <w:szCs w:val="22"/>
          <w:lang w:val="en-US"/>
        </w:rPr>
      </w:pPr>
    </w:p>
    <w:p w14:paraId="1F28C0B0" w14:textId="77777777" w:rsidR="009555FE" w:rsidRPr="00C379B3" w:rsidRDefault="009555FE" w:rsidP="009555FE">
      <w:pPr>
        <w:rPr>
          <w:rFonts w:asciiTheme="minorHAnsi" w:hAnsiTheme="minorHAnsi" w:cstheme="minorHAnsi"/>
          <w:sz w:val="22"/>
          <w:szCs w:val="22"/>
          <w:lang w:val="en-US" w:bidi="en-US"/>
        </w:rPr>
      </w:pPr>
      <w:proofErr w:type="spellStart"/>
      <w:r w:rsidRPr="00C379B3">
        <w:rPr>
          <w:rFonts w:asciiTheme="minorHAnsi" w:hAnsiTheme="minorHAnsi" w:cstheme="minorHAnsi"/>
          <w:sz w:val="22"/>
          <w:szCs w:val="22"/>
          <w:lang w:val="en-US" w:bidi="en-US"/>
        </w:rPr>
        <w:t>Basu</w:t>
      </w:r>
      <w:proofErr w:type="spellEnd"/>
      <w:r w:rsidRPr="00C379B3">
        <w:rPr>
          <w:rFonts w:asciiTheme="minorHAnsi" w:hAnsiTheme="minorHAnsi" w:cstheme="minorHAnsi"/>
          <w:sz w:val="22"/>
          <w:szCs w:val="22"/>
          <w:lang w:val="en-US" w:bidi="en-US"/>
        </w:rPr>
        <w:t xml:space="preserve">, Paul (2007), 'Palimpsest </w:t>
      </w:r>
      <w:proofErr w:type="spellStart"/>
      <w:r w:rsidRPr="00C379B3">
        <w:rPr>
          <w:rFonts w:asciiTheme="minorHAnsi" w:hAnsiTheme="minorHAnsi" w:cstheme="minorHAnsi"/>
          <w:sz w:val="22"/>
          <w:szCs w:val="22"/>
          <w:lang w:val="en-US" w:bidi="en-US"/>
        </w:rPr>
        <w:t>Memoryscapes</w:t>
      </w:r>
      <w:proofErr w:type="spellEnd"/>
      <w:r w:rsidRPr="00C379B3">
        <w:rPr>
          <w:rFonts w:asciiTheme="minorHAnsi" w:hAnsiTheme="minorHAnsi" w:cstheme="minorHAnsi"/>
          <w:sz w:val="22"/>
          <w:szCs w:val="22"/>
          <w:lang w:val="en-US" w:bidi="en-US"/>
        </w:rPr>
        <w:t xml:space="preserve">: Materializing and Mediating War and Peace in: Sierra Leone' in: Gordon F. de Jong &amp; Michael Rowlands (eds.), </w:t>
      </w:r>
      <w:r w:rsidRPr="00C379B3">
        <w:rPr>
          <w:rFonts w:asciiTheme="minorHAnsi" w:hAnsiTheme="minorHAnsi" w:cstheme="minorHAnsi"/>
          <w:i/>
          <w:iCs/>
          <w:sz w:val="22"/>
          <w:szCs w:val="22"/>
          <w:lang w:val="en-US" w:bidi="en-US"/>
        </w:rPr>
        <w:t>Reclaiming Heritage: Alternative Imaginations in West Africa</w:t>
      </w:r>
      <w:r w:rsidRPr="00C379B3">
        <w:rPr>
          <w:rFonts w:asciiTheme="minorHAnsi" w:hAnsiTheme="minorHAnsi" w:cstheme="minorHAnsi"/>
          <w:sz w:val="22"/>
          <w:szCs w:val="22"/>
          <w:lang w:val="en-US" w:bidi="en-US"/>
        </w:rPr>
        <w:t>, Walnut Creek, CA: Left Coast Press.</w:t>
      </w:r>
    </w:p>
    <w:p w14:paraId="7974F487" w14:textId="77777777" w:rsidR="009555FE" w:rsidRPr="00C379B3" w:rsidRDefault="009555FE" w:rsidP="009555FE">
      <w:pPr>
        <w:rPr>
          <w:rFonts w:asciiTheme="minorHAnsi" w:hAnsiTheme="minorHAnsi" w:cstheme="minorHAnsi"/>
          <w:sz w:val="22"/>
          <w:szCs w:val="22"/>
          <w:lang w:val="en-US" w:bidi="en-US"/>
        </w:rPr>
      </w:pPr>
    </w:p>
    <w:p w14:paraId="16D5E205" w14:textId="77777777" w:rsidR="009555FE" w:rsidRPr="00C379B3" w:rsidRDefault="009555FE" w:rsidP="009555FE">
      <w:pPr>
        <w:spacing w:after="120"/>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Bender, Barbara (ed.), (1983) </w:t>
      </w:r>
      <w:r w:rsidRPr="00C379B3">
        <w:rPr>
          <w:rFonts w:asciiTheme="minorHAnsi" w:hAnsiTheme="minorHAnsi" w:cstheme="minorHAnsi"/>
          <w:i/>
          <w:sz w:val="22"/>
          <w:szCs w:val="22"/>
          <w:lang w:val="en-US"/>
        </w:rPr>
        <w:t>Landscape: Politics and Perspectives</w:t>
      </w:r>
      <w:r w:rsidRPr="00C379B3">
        <w:rPr>
          <w:rFonts w:asciiTheme="minorHAnsi" w:hAnsiTheme="minorHAnsi" w:cstheme="minorHAnsi"/>
          <w:sz w:val="22"/>
          <w:szCs w:val="22"/>
          <w:lang w:val="en-US"/>
        </w:rPr>
        <w:t>, Oxford: Berg.</w:t>
      </w:r>
    </w:p>
    <w:p w14:paraId="264CA0C7" w14:textId="77777777" w:rsidR="009555FE" w:rsidRPr="00C379B3" w:rsidRDefault="009555FE" w:rsidP="009555FE">
      <w:pPr>
        <w:rPr>
          <w:rFonts w:asciiTheme="minorHAnsi" w:hAnsiTheme="minorHAnsi" w:cstheme="minorHAnsi"/>
          <w:color w:val="000000"/>
          <w:sz w:val="22"/>
          <w:szCs w:val="22"/>
          <w:lang w:val="en-US"/>
        </w:rPr>
      </w:pPr>
      <w:r w:rsidRPr="00C379B3">
        <w:rPr>
          <w:rFonts w:asciiTheme="minorHAnsi" w:hAnsiTheme="minorHAnsi" w:cstheme="minorHAnsi"/>
          <w:sz w:val="22"/>
          <w:szCs w:val="22"/>
          <w:lang w:val="en-US"/>
        </w:rPr>
        <w:t xml:space="preserve">Bender, Barbara and Winer, Margot (eds.) </w:t>
      </w:r>
      <w:r w:rsidRPr="00C379B3">
        <w:rPr>
          <w:rFonts w:asciiTheme="minorHAnsi" w:hAnsiTheme="minorHAnsi" w:cstheme="minorHAnsi"/>
          <w:color w:val="000000"/>
          <w:sz w:val="22"/>
          <w:szCs w:val="22"/>
          <w:lang w:val="en-US"/>
        </w:rPr>
        <w:t xml:space="preserve">(2001), </w:t>
      </w:r>
      <w:r w:rsidRPr="00C379B3">
        <w:rPr>
          <w:rFonts w:asciiTheme="minorHAnsi" w:hAnsiTheme="minorHAnsi" w:cstheme="minorHAnsi"/>
          <w:i/>
          <w:color w:val="000000"/>
          <w:sz w:val="22"/>
          <w:szCs w:val="22"/>
          <w:lang w:val="en-US"/>
        </w:rPr>
        <w:t>Contested Landscapes: Movement, Exile and Place</w:t>
      </w:r>
      <w:r w:rsidRPr="00C379B3">
        <w:rPr>
          <w:rFonts w:asciiTheme="minorHAnsi" w:hAnsiTheme="minorHAnsi" w:cstheme="minorHAnsi"/>
          <w:color w:val="000000"/>
          <w:sz w:val="22"/>
          <w:szCs w:val="22"/>
          <w:lang w:val="en-US"/>
        </w:rPr>
        <w:t>, Oxford: Berg.</w:t>
      </w:r>
    </w:p>
    <w:p w14:paraId="64C0A64B" w14:textId="77777777" w:rsidR="009555FE" w:rsidRPr="00C379B3" w:rsidRDefault="009555FE" w:rsidP="009555FE">
      <w:pPr>
        <w:rPr>
          <w:rFonts w:asciiTheme="minorHAnsi" w:hAnsiTheme="minorHAnsi" w:cstheme="minorHAnsi"/>
          <w:color w:val="000000"/>
          <w:sz w:val="22"/>
          <w:szCs w:val="22"/>
          <w:lang w:val="en-US"/>
        </w:rPr>
      </w:pPr>
    </w:p>
    <w:p w14:paraId="4DB86755"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Bennett, Alan (2004), U</w:t>
      </w:r>
      <w:r w:rsidRPr="00C379B3">
        <w:rPr>
          <w:rFonts w:asciiTheme="minorHAnsi" w:hAnsiTheme="minorHAnsi" w:cstheme="minorHAnsi"/>
          <w:i/>
          <w:iCs/>
          <w:sz w:val="22"/>
          <w:szCs w:val="22"/>
          <w:lang w:val="en-US"/>
        </w:rPr>
        <w:t>ntold Stories</w:t>
      </w:r>
      <w:r w:rsidRPr="00C379B3">
        <w:rPr>
          <w:rFonts w:asciiTheme="minorHAnsi" w:hAnsiTheme="minorHAnsi" w:cstheme="minorHAnsi"/>
          <w:sz w:val="22"/>
          <w:szCs w:val="22"/>
          <w:lang w:val="en-US"/>
        </w:rPr>
        <w:t xml:space="preserve"> (autobiographical and essays), London: Harper.</w:t>
      </w:r>
    </w:p>
    <w:p w14:paraId="36610AC9" w14:textId="77777777" w:rsidR="009555FE" w:rsidRPr="00C379B3" w:rsidRDefault="009555FE" w:rsidP="009555FE">
      <w:pPr>
        <w:rPr>
          <w:rFonts w:asciiTheme="minorHAnsi" w:hAnsiTheme="minorHAnsi" w:cstheme="minorHAnsi"/>
          <w:sz w:val="22"/>
          <w:szCs w:val="22"/>
          <w:lang w:val="en-US"/>
        </w:rPr>
      </w:pPr>
    </w:p>
    <w:p w14:paraId="43E791DE" w14:textId="77777777" w:rsidR="009555FE" w:rsidRPr="00C379B3" w:rsidRDefault="009555FE" w:rsidP="009555FE">
      <w:pPr>
        <w:spacing w:after="120"/>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Blair, Sarah, “Cultural Geography and the Place of the Literary”, </w:t>
      </w:r>
      <w:r w:rsidRPr="00C379B3">
        <w:rPr>
          <w:rFonts w:asciiTheme="minorHAnsi" w:hAnsiTheme="minorHAnsi" w:cstheme="minorHAnsi"/>
          <w:i/>
          <w:sz w:val="22"/>
          <w:szCs w:val="22"/>
          <w:lang w:val="en-US"/>
        </w:rPr>
        <w:t>American Literary History</w:t>
      </w:r>
      <w:r w:rsidRPr="00C379B3">
        <w:rPr>
          <w:rFonts w:asciiTheme="minorHAnsi" w:hAnsiTheme="minorHAnsi" w:cstheme="minorHAnsi"/>
          <w:sz w:val="22"/>
          <w:szCs w:val="22"/>
          <w:lang w:val="en-US"/>
        </w:rPr>
        <w:t>, Vol. 10, 3, Autumn 1998, 544-567.</w:t>
      </w:r>
    </w:p>
    <w:p w14:paraId="25D3CB1D" w14:textId="77777777" w:rsidR="009555FE" w:rsidRPr="00C379B3" w:rsidRDefault="009555FE" w:rsidP="009555FE">
      <w:pPr>
        <w:spacing w:after="120"/>
        <w:rPr>
          <w:rFonts w:asciiTheme="minorHAnsi" w:hAnsiTheme="minorHAnsi" w:cstheme="minorHAnsi"/>
          <w:sz w:val="22"/>
          <w:szCs w:val="22"/>
          <w:lang w:val="en-US"/>
        </w:rPr>
      </w:pPr>
      <w:r w:rsidRPr="00C379B3">
        <w:rPr>
          <w:rFonts w:asciiTheme="minorHAnsi" w:hAnsiTheme="minorHAnsi" w:cstheme="minorHAnsi"/>
          <w:sz w:val="22"/>
          <w:szCs w:val="22"/>
          <w:lang w:val="en-US"/>
        </w:rPr>
        <w:t>Commonwealth War Graves Commission, &lt;</w:t>
      </w:r>
      <w:hyperlink r:id="rId8" w:history="1">
        <w:r w:rsidRPr="00C379B3">
          <w:rPr>
            <w:rFonts w:asciiTheme="minorHAnsi" w:hAnsiTheme="minorHAnsi" w:cstheme="minorHAnsi"/>
            <w:color w:val="0000FF"/>
            <w:sz w:val="22"/>
            <w:szCs w:val="22"/>
            <w:u w:val="single"/>
            <w:lang w:val="en-US"/>
          </w:rPr>
          <w:t xml:space="preserve">http://www.cwgc.org/content.asp?menuid=2&amp;submenuid =9&amp;id=102&amp;menuname=Climate%20Change%20Update%20-%20February%202011&amp;menu= </w:t>
        </w:r>
        <w:proofErr w:type="spellStart"/>
        <w:r w:rsidRPr="00C379B3">
          <w:rPr>
            <w:rFonts w:asciiTheme="minorHAnsi" w:hAnsiTheme="minorHAnsi" w:cstheme="minorHAnsi"/>
            <w:color w:val="0000FF"/>
            <w:sz w:val="22"/>
            <w:szCs w:val="22"/>
            <w:u w:val="single"/>
            <w:lang w:val="en-US"/>
          </w:rPr>
          <w:t>subsub</w:t>
        </w:r>
        <w:proofErr w:type="spellEnd"/>
      </w:hyperlink>
      <w:r w:rsidRPr="00C379B3">
        <w:rPr>
          <w:rFonts w:asciiTheme="minorHAnsi" w:hAnsiTheme="minorHAnsi" w:cstheme="minorHAnsi"/>
          <w:sz w:val="22"/>
          <w:szCs w:val="22"/>
          <w:lang w:val="en-US"/>
        </w:rPr>
        <w:t>/&gt;, 25 September 2011.</w:t>
      </w:r>
    </w:p>
    <w:p w14:paraId="4923ECBA"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Coombes, Rose E.B. (1983),</w:t>
      </w:r>
      <w:r w:rsidRPr="00C379B3">
        <w:rPr>
          <w:rFonts w:asciiTheme="minorHAnsi" w:hAnsiTheme="minorHAnsi" w:cstheme="minorHAnsi"/>
          <w:i/>
          <w:sz w:val="22"/>
          <w:szCs w:val="22"/>
          <w:lang w:val="en-US"/>
        </w:rPr>
        <w:t xml:space="preserve"> Before Endeavour Fades</w:t>
      </w:r>
      <w:r w:rsidRPr="00C379B3">
        <w:rPr>
          <w:rFonts w:asciiTheme="minorHAnsi" w:hAnsiTheme="minorHAnsi" w:cstheme="minorHAnsi"/>
          <w:sz w:val="22"/>
          <w:szCs w:val="22"/>
          <w:lang w:val="en-US"/>
        </w:rPr>
        <w:t>, After the Battle Publications: London.</w:t>
      </w:r>
    </w:p>
    <w:p w14:paraId="023D8992" w14:textId="77777777" w:rsidR="009555FE" w:rsidRPr="00C379B3" w:rsidRDefault="009555FE" w:rsidP="009555FE">
      <w:pPr>
        <w:rPr>
          <w:rFonts w:asciiTheme="minorHAnsi" w:hAnsiTheme="minorHAnsi" w:cstheme="minorHAnsi"/>
          <w:sz w:val="22"/>
          <w:szCs w:val="22"/>
          <w:lang w:val="en-US"/>
        </w:rPr>
      </w:pPr>
    </w:p>
    <w:p w14:paraId="0DD34C08" w14:textId="77777777" w:rsidR="009555FE" w:rsidRPr="00C379B3" w:rsidRDefault="009555FE" w:rsidP="009555FE">
      <w:pPr>
        <w:spacing w:after="120"/>
        <w:rPr>
          <w:rFonts w:asciiTheme="minorHAnsi" w:eastAsia="Times" w:hAnsiTheme="minorHAnsi" w:cstheme="minorHAnsi"/>
          <w:sz w:val="22"/>
          <w:szCs w:val="22"/>
          <w:lang w:val="en-US"/>
        </w:rPr>
      </w:pPr>
      <w:r w:rsidRPr="00C379B3">
        <w:rPr>
          <w:rFonts w:asciiTheme="minorHAnsi" w:eastAsia="Times" w:hAnsiTheme="minorHAnsi" w:cstheme="minorHAnsi"/>
          <w:sz w:val="22"/>
          <w:szCs w:val="22"/>
          <w:lang w:val="en-US"/>
        </w:rPr>
        <w:t xml:space="preserve">Danto, Arthur (1986), “The Vietnam Veterans Memorial”, </w:t>
      </w:r>
      <w:r w:rsidRPr="00C379B3">
        <w:rPr>
          <w:rFonts w:asciiTheme="minorHAnsi" w:eastAsia="Times" w:hAnsiTheme="minorHAnsi" w:cstheme="minorHAnsi"/>
          <w:i/>
          <w:sz w:val="22"/>
          <w:szCs w:val="22"/>
          <w:lang w:val="en-US"/>
        </w:rPr>
        <w:t>The Nation</w:t>
      </w:r>
      <w:r w:rsidRPr="00C379B3">
        <w:rPr>
          <w:rFonts w:asciiTheme="minorHAnsi" w:eastAsia="Times" w:hAnsiTheme="minorHAnsi" w:cstheme="minorHAnsi"/>
          <w:sz w:val="22"/>
          <w:szCs w:val="22"/>
          <w:lang w:val="en-US"/>
        </w:rPr>
        <w:t>, 31 August 1986.</w:t>
      </w:r>
    </w:p>
    <w:p w14:paraId="7E1885E7" w14:textId="77777777" w:rsidR="009555FE" w:rsidRPr="00C379B3" w:rsidRDefault="009555FE" w:rsidP="009555FE">
      <w:pPr>
        <w:spacing w:after="120"/>
        <w:rPr>
          <w:rFonts w:asciiTheme="minorHAnsi" w:eastAsia="Times" w:hAnsiTheme="minorHAnsi" w:cstheme="minorHAnsi"/>
          <w:sz w:val="22"/>
          <w:szCs w:val="22"/>
          <w:lang w:val="en-US"/>
        </w:rPr>
      </w:pPr>
      <w:r w:rsidRPr="00C379B3">
        <w:rPr>
          <w:rFonts w:asciiTheme="minorHAnsi" w:eastAsia="Times" w:hAnsiTheme="minorHAnsi" w:cstheme="minorHAnsi"/>
          <w:sz w:val="22"/>
          <w:szCs w:val="22"/>
          <w:lang w:val="en-US"/>
        </w:rPr>
        <w:t xml:space="preserve">de </w:t>
      </w:r>
      <w:proofErr w:type="spellStart"/>
      <w:r w:rsidRPr="00C379B3">
        <w:rPr>
          <w:rFonts w:asciiTheme="minorHAnsi" w:eastAsia="Times" w:hAnsiTheme="minorHAnsi" w:cstheme="minorHAnsi"/>
          <w:sz w:val="22"/>
          <w:szCs w:val="22"/>
          <w:lang w:val="en-US"/>
        </w:rPr>
        <w:t>Botton</w:t>
      </w:r>
      <w:proofErr w:type="spellEnd"/>
      <w:r w:rsidRPr="00C379B3">
        <w:rPr>
          <w:rFonts w:asciiTheme="minorHAnsi" w:eastAsia="Times" w:hAnsiTheme="minorHAnsi" w:cstheme="minorHAnsi"/>
          <w:sz w:val="22"/>
          <w:szCs w:val="22"/>
          <w:lang w:val="en-US"/>
        </w:rPr>
        <w:t xml:space="preserve">, Alan (2004), </w:t>
      </w:r>
      <w:r w:rsidRPr="00C379B3">
        <w:rPr>
          <w:rFonts w:asciiTheme="minorHAnsi" w:eastAsia="Times" w:hAnsiTheme="minorHAnsi" w:cstheme="minorHAnsi"/>
          <w:i/>
          <w:sz w:val="22"/>
          <w:szCs w:val="22"/>
          <w:lang w:val="en-US"/>
        </w:rPr>
        <w:t>Status Anxiety</w:t>
      </w:r>
      <w:r w:rsidRPr="00C379B3">
        <w:rPr>
          <w:rFonts w:asciiTheme="minorHAnsi" w:eastAsia="Times" w:hAnsiTheme="minorHAnsi" w:cstheme="minorHAnsi"/>
          <w:sz w:val="22"/>
          <w:szCs w:val="22"/>
          <w:lang w:val="en-US"/>
        </w:rPr>
        <w:t>, London: Hamish Hamilton.</w:t>
      </w:r>
    </w:p>
    <w:p w14:paraId="0DD5EC34" w14:textId="77777777" w:rsidR="009555FE" w:rsidRPr="00C379B3" w:rsidRDefault="009555FE" w:rsidP="009555FE">
      <w:pPr>
        <w:rPr>
          <w:rFonts w:asciiTheme="minorHAnsi" w:hAnsiTheme="minorHAnsi" w:cstheme="minorHAnsi"/>
          <w:sz w:val="22"/>
          <w:szCs w:val="22"/>
          <w:lang w:val="en-US" w:bidi="en-US"/>
        </w:rPr>
      </w:pPr>
      <w:r w:rsidRPr="00C379B3">
        <w:rPr>
          <w:rFonts w:asciiTheme="minorHAnsi" w:hAnsiTheme="minorHAnsi" w:cstheme="minorHAnsi"/>
          <w:sz w:val="22"/>
          <w:szCs w:val="22"/>
          <w:lang w:val="en-US" w:bidi="en-US"/>
        </w:rPr>
        <w:t xml:space="preserve">Fort, Tom (2001), </w:t>
      </w:r>
      <w:r w:rsidRPr="00C379B3">
        <w:rPr>
          <w:rFonts w:asciiTheme="minorHAnsi" w:hAnsiTheme="minorHAnsi" w:cstheme="minorHAnsi"/>
          <w:i/>
          <w:sz w:val="22"/>
          <w:szCs w:val="22"/>
          <w:lang w:val="en-US" w:bidi="en-US"/>
        </w:rPr>
        <w:t>The Grass is Greener: Our Love Affair with the Lawn</w:t>
      </w:r>
      <w:r w:rsidRPr="00C379B3">
        <w:rPr>
          <w:rFonts w:asciiTheme="minorHAnsi" w:hAnsiTheme="minorHAnsi" w:cstheme="minorHAnsi"/>
          <w:sz w:val="22"/>
          <w:szCs w:val="22"/>
          <w:lang w:val="en-US" w:bidi="en-US"/>
        </w:rPr>
        <w:t>, London: Harper Collins.</w:t>
      </w:r>
    </w:p>
    <w:p w14:paraId="62D32EFA" w14:textId="77777777" w:rsidR="009555FE" w:rsidRPr="00C379B3" w:rsidRDefault="009555FE" w:rsidP="009555FE">
      <w:pPr>
        <w:rPr>
          <w:rFonts w:asciiTheme="minorHAnsi" w:hAnsiTheme="minorHAnsi" w:cstheme="minorHAnsi"/>
          <w:sz w:val="22"/>
          <w:szCs w:val="22"/>
          <w:lang w:val="en-US" w:bidi="en-US"/>
        </w:rPr>
      </w:pPr>
    </w:p>
    <w:p w14:paraId="5ABE0D7A"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Gillis, John. R (1994), </w:t>
      </w:r>
      <w:r w:rsidRPr="00C379B3">
        <w:rPr>
          <w:rFonts w:asciiTheme="minorHAnsi" w:hAnsiTheme="minorHAnsi" w:cstheme="minorHAnsi"/>
          <w:i/>
          <w:sz w:val="22"/>
          <w:szCs w:val="22"/>
          <w:lang w:val="en-US"/>
        </w:rPr>
        <w:t xml:space="preserve">Commemorations, </w:t>
      </w:r>
      <w:r w:rsidRPr="00C379B3">
        <w:rPr>
          <w:rFonts w:asciiTheme="minorHAnsi" w:hAnsiTheme="minorHAnsi" w:cstheme="minorHAnsi"/>
          <w:sz w:val="22"/>
          <w:szCs w:val="22"/>
          <w:lang w:val="en-US"/>
        </w:rPr>
        <w:t>Princeton: Princeton University Press.</w:t>
      </w:r>
    </w:p>
    <w:p w14:paraId="4817E74C" w14:textId="77777777" w:rsidR="009555FE" w:rsidRPr="00C379B3" w:rsidRDefault="009555FE" w:rsidP="009555FE">
      <w:pPr>
        <w:rPr>
          <w:rFonts w:asciiTheme="minorHAnsi" w:hAnsiTheme="minorHAnsi" w:cstheme="minorHAnsi"/>
          <w:sz w:val="22"/>
          <w:szCs w:val="22"/>
          <w:lang w:val="en-US"/>
        </w:rPr>
      </w:pPr>
    </w:p>
    <w:p w14:paraId="5811309D"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Gough, Paul (2004), “Sites in the imagination: the Beaumont Hamel Newfoundland Memorial on the Somme”, </w:t>
      </w:r>
      <w:r w:rsidRPr="00C379B3">
        <w:rPr>
          <w:rFonts w:asciiTheme="minorHAnsi" w:hAnsiTheme="minorHAnsi" w:cstheme="minorHAnsi"/>
          <w:i/>
          <w:sz w:val="22"/>
          <w:szCs w:val="22"/>
          <w:lang w:val="en-US"/>
        </w:rPr>
        <w:t>Cultural Geographies</w:t>
      </w:r>
      <w:r w:rsidRPr="00C379B3">
        <w:rPr>
          <w:rFonts w:asciiTheme="minorHAnsi" w:hAnsiTheme="minorHAnsi" w:cstheme="minorHAnsi"/>
          <w:sz w:val="22"/>
          <w:szCs w:val="22"/>
          <w:lang w:val="en-US"/>
        </w:rPr>
        <w:t>, Vol.11, 3, 235-258.</w:t>
      </w:r>
    </w:p>
    <w:p w14:paraId="2682E75B" w14:textId="77777777" w:rsidR="009555FE" w:rsidRPr="00C379B3" w:rsidRDefault="009555FE" w:rsidP="009555FE">
      <w:pPr>
        <w:rPr>
          <w:rFonts w:asciiTheme="minorHAnsi" w:hAnsiTheme="minorHAnsi" w:cstheme="minorHAnsi"/>
          <w:sz w:val="22"/>
          <w:szCs w:val="22"/>
          <w:lang w:val="en-US"/>
        </w:rPr>
      </w:pPr>
    </w:p>
    <w:p w14:paraId="06F24C41"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Gough, Paul (2007), “Planting peace: the Greater London Council and the Community Gardens of Central London</w:t>
      </w:r>
      <w:proofErr w:type="gramStart"/>
      <w:r w:rsidRPr="00C379B3">
        <w:rPr>
          <w:rFonts w:asciiTheme="minorHAnsi" w:hAnsiTheme="minorHAnsi" w:cstheme="minorHAnsi"/>
          <w:sz w:val="22"/>
          <w:szCs w:val="22"/>
          <w:lang w:val="en-US"/>
        </w:rPr>
        <w:t xml:space="preserve">’,  </w:t>
      </w:r>
      <w:r w:rsidRPr="00C379B3">
        <w:rPr>
          <w:rFonts w:asciiTheme="minorHAnsi" w:hAnsiTheme="minorHAnsi" w:cstheme="minorHAnsi"/>
          <w:i/>
          <w:sz w:val="22"/>
          <w:szCs w:val="22"/>
          <w:lang w:val="en-US"/>
        </w:rPr>
        <w:t>International</w:t>
      </w:r>
      <w:proofErr w:type="gramEnd"/>
      <w:r w:rsidRPr="00C379B3">
        <w:rPr>
          <w:rFonts w:asciiTheme="minorHAnsi" w:hAnsiTheme="minorHAnsi" w:cstheme="minorHAnsi"/>
          <w:i/>
          <w:sz w:val="22"/>
          <w:szCs w:val="22"/>
          <w:lang w:val="en-US"/>
        </w:rPr>
        <w:t xml:space="preserve"> Journal of Heritage Studies</w:t>
      </w:r>
      <w:r w:rsidRPr="00C379B3">
        <w:rPr>
          <w:rFonts w:asciiTheme="minorHAnsi" w:hAnsiTheme="minorHAnsi" w:cstheme="minorHAnsi"/>
          <w:sz w:val="22"/>
          <w:szCs w:val="22"/>
          <w:lang w:val="en-US"/>
        </w:rPr>
        <w:t>, Vol. 3, 1, 22-41.</w:t>
      </w:r>
    </w:p>
    <w:p w14:paraId="186403F3" w14:textId="77777777" w:rsidR="009555FE" w:rsidRPr="00C379B3" w:rsidRDefault="009555FE" w:rsidP="009555FE">
      <w:pPr>
        <w:rPr>
          <w:rFonts w:asciiTheme="minorHAnsi" w:hAnsiTheme="minorHAnsi" w:cstheme="minorHAnsi"/>
          <w:sz w:val="22"/>
          <w:szCs w:val="22"/>
          <w:lang w:val="en-US"/>
        </w:rPr>
      </w:pPr>
    </w:p>
    <w:p w14:paraId="4FF84CCE"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Gray, L. “Lawns will become sign of 'moral decadence' because of climate change”,</w:t>
      </w:r>
      <w:r w:rsidRPr="00C379B3">
        <w:rPr>
          <w:rFonts w:asciiTheme="minorHAnsi" w:hAnsiTheme="minorHAnsi" w:cstheme="minorHAnsi"/>
          <w:i/>
          <w:sz w:val="22"/>
          <w:szCs w:val="22"/>
          <w:lang w:val="en-US"/>
        </w:rPr>
        <w:t xml:space="preserve"> Daily Telegraph</w:t>
      </w:r>
      <w:r w:rsidRPr="00C379B3">
        <w:rPr>
          <w:rFonts w:asciiTheme="minorHAnsi" w:hAnsiTheme="minorHAnsi" w:cstheme="minorHAnsi"/>
          <w:sz w:val="22"/>
          <w:szCs w:val="22"/>
          <w:lang w:val="en-US"/>
        </w:rPr>
        <w:t xml:space="preserve">, 1 May 2009. </w:t>
      </w:r>
    </w:p>
    <w:p w14:paraId="03A75847" w14:textId="77777777" w:rsidR="009555FE" w:rsidRPr="00C379B3" w:rsidRDefault="009555FE" w:rsidP="009555FE">
      <w:pPr>
        <w:rPr>
          <w:rFonts w:asciiTheme="minorHAnsi" w:hAnsiTheme="minorHAnsi" w:cstheme="minorHAnsi"/>
          <w:color w:val="FF0000"/>
          <w:sz w:val="22"/>
          <w:szCs w:val="22"/>
          <w:lang w:val="en-US"/>
        </w:rPr>
      </w:pPr>
    </w:p>
    <w:p w14:paraId="45F23C50"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Heffernan, Michael (1995), “Forever England: </w:t>
      </w:r>
      <w:proofErr w:type="gramStart"/>
      <w:r w:rsidRPr="00C379B3">
        <w:rPr>
          <w:rFonts w:asciiTheme="minorHAnsi" w:hAnsiTheme="minorHAnsi" w:cstheme="minorHAnsi"/>
          <w:sz w:val="22"/>
          <w:szCs w:val="22"/>
          <w:lang w:val="en-US"/>
        </w:rPr>
        <w:t>the</w:t>
      </w:r>
      <w:proofErr w:type="gramEnd"/>
      <w:r w:rsidRPr="00C379B3">
        <w:rPr>
          <w:rFonts w:asciiTheme="minorHAnsi" w:hAnsiTheme="minorHAnsi" w:cstheme="minorHAnsi"/>
          <w:sz w:val="22"/>
          <w:szCs w:val="22"/>
          <w:lang w:val="en-US"/>
        </w:rPr>
        <w:t xml:space="preserve"> Western Front and the politics of remembrance in Britain”, </w:t>
      </w:r>
      <w:r w:rsidRPr="00C379B3">
        <w:rPr>
          <w:rFonts w:asciiTheme="minorHAnsi" w:hAnsiTheme="minorHAnsi" w:cstheme="minorHAnsi"/>
          <w:i/>
          <w:sz w:val="22"/>
          <w:szCs w:val="22"/>
          <w:lang w:val="en-US"/>
        </w:rPr>
        <w:t>Ecumene</w:t>
      </w:r>
      <w:r w:rsidRPr="00C379B3">
        <w:rPr>
          <w:rFonts w:asciiTheme="minorHAnsi" w:hAnsiTheme="minorHAnsi" w:cstheme="minorHAnsi"/>
          <w:sz w:val="22"/>
          <w:szCs w:val="22"/>
          <w:lang w:val="en-US"/>
        </w:rPr>
        <w:t>, Vol.2</w:t>
      </w:r>
      <w:r w:rsidRPr="00C379B3">
        <w:rPr>
          <w:rFonts w:asciiTheme="minorHAnsi" w:hAnsiTheme="minorHAnsi" w:cstheme="minorHAnsi"/>
          <w:b/>
          <w:sz w:val="22"/>
          <w:szCs w:val="22"/>
          <w:lang w:val="en-US"/>
        </w:rPr>
        <w:t>,</w:t>
      </w:r>
      <w:r w:rsidRPr="00C379B3">
        <w:rPr>
          <w:rFonts w:asciiTheme="minorHAnsi" w:hAnsiTheme="minorHAnsi" w:cstheme="minorHAnsi"/>
          <w:sz w:val="22"/>
          <w:szCs w:val="22"/>
          <w:lang w:val="en-US"/>
        </w:rPr>
        <w:t xml:space="preserve"> 3, 293-324.</w:t>
      </w:r>
    </w:p>
    <w:p w14:paraId="79009C74" w14:textId="77777777" w:rsidR="009555FE" w:rsidRPr="00C379B3" w:rsidRDefault="009555FE" w:rsidP="009555FE">
      <w:pPr>
        <w:rPr>
          <w:rFonts w:asciiTheme="minorHAnsi" w:hAnsiTheme="minorHAnsi" w:cstheme="minorHAnsi"/>
          <w:sz w:val="22"/>
          <w:szCs w:val="22"/>
          <w:lang w:val="en-US"/>
        </w:rPr>
      </w:pPr>
    </w:p>
    <w:p w14:paraId="277F14B7" w14:textId="77777777" w:rsidR="009555FE" w:rsidRPr="00C379B3" w:rsidRDefault="009555FE" w:rsidP="009555FE">
      <w:pPr>
        <w:rPr>
          <w:rFonts w:asciiTheme="minorHAnsi" w:hAnsiTheme="minorHAnsi" w:cstheme="minorHAnsi"/>
          <w:sz w:val="22"/>
          <w:szCs w:val="22"/>
          <w:lang w:val="en-US"/>
        </w:rPr>
      </w:pPr>
      <w:proofErr w:type="spellStart"/>
      <w:r w:rsidRPr="00C379B3">
        <w:rPr>
          <w:rFonts w:asciiTheme="minorHAnsi" w:hAnsiTheme="minorHAnsi" w:cstheme="minorHAnsi"/>
          <w:sz w:val="22"/>
          <w:szCs w:val="22"/>
          <w:lang w:val="en-US"/>
        </w:rPr>
        <w:t>Helphand</w:t>
      </w:r>
      <w:proofErr w:type="spellEnd"/>
      <w:r w:rsidRPr="00C379B3">
        <w:rPr>
          <w:rFonts w:asciiTheme="minorHAnsi" w:hAnsiTheme="minorHAnsi" w:cstheme="minorHAnsi"/>
          <w:sz w:val="22"/>
          <w:szCs w:val="22"/>
          <w:lang w:val="en-US"/>
        </w:rPr>
        <w:t xml:space="preserve">, Kenneth (2006), </w:t>
      </w:r>
      <w:r w:rsidRPr="00C379B3">
        <w:rPr>
          <w:rFonts w:asciiTheme="minorHAnsi" w:hAnsiTheme="minorHAnsi" w:cstheme="minorHAnsi"/>
          <w:i/>
          <w:sz w:val="22"/>
          <w:szCs w:val="22"/>
          <w:lang w:val="en-US"/>
        </w:rPr>
        <w:t xml:space="preserve">Defiant Gardens: Making Gardens in Wartime, </w:t>
      </w:r>
      <w:r w:rsidRPr="00C379B3">
        <w:rPr>
          <w:rFonts w:asciiTheme="minorHAnsi" w:hAnsiTheme="minorHAnsi" w:cstheme="minorHAnsi"/>
          <w:sz w:val="22"/>
          <w:szCs w:val="22"/>
          <w:lang w:val="en-US"/>
        </w:rPr>
        <w:t xml:space="preserve">San Antonio: Trinity University Press. </w:t>
      </w:r>
    </w:p>
    <w:p w14:paraId="514A6CA6" w14:textId="77777777" w:rsidR="009555FE" w:rsidRPr="00C379B3" w:rsidRDefault="009555FE" w:rsidP="009555FE">
      <w:pPr>
        <w:rPr>
          <w:rFonts w:asciiTheme="minorHAnsi" w:hAnsiTheme="minorHAnsi" w:cstheme="minorHAnsi"/>
          <w:sz w:val="22"/>
          <w:szCs w:val="22"/>
          <w:lang w:val="en-US"/>
        </w:rPr>
      </w:pPr>
    </w:p>
    <w:p w14:paraId="2F36F0AD"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Hill, Arthur (1919), ‘Our Soldier’s Graves’, </w:t>
      </w:r>
      <w:r w:rsidRPr="00C379B3">
        <w:rPr>
          <w:rFonts w:asciiTheme="minorHAnsi" w:hAnsiTheme="minorHAnsi" w:cstheme="minorHAnsi"/>
          <w:i/>
          <w:sz w:val="22"/>
          <w:szCs w:val="22"/>
          <w:lang w:val="en-US"/>
        </w:rPr>
        <w:t>Journal of the Royal Horticultural Society</w:t>
      </w:r>
      <w:r w:rsidRPr="00C379B3">
        <w:rPr>
          <w:rFonts w:asciiTheme="minorHAnsi" w:hAnsiTheme="minorHAnsi" w:cstheme="minorHAnsi"/>
          <w:sz w:val="22"/>
          <w:szCs w:val="22"/>
          <w:lang w:val="en-US"/>
        </w:rPr>
        <w:t>, Vol.45, 1.</w:t>
      </w:r>
    </w:p>
    <w:p w14:paraId="69BBE48D" w14:textId="77777777" w:rsidR="009555FE" w:rsidRPr="00C379B3" w:rsidRDefault="009555FE" w:rsidP="009555FE">
      <w:pPr>
        <w:rPr>
          <w:rFonts w:asciiTheme="minorHAnsi" w:hAnsiTheme="minorHAnsi" w:cstheme="minorHAnsi"/>
          <w:sz w:val="22"/>
          <w:szCs w:val="22"/>
          <w:lang w:val="en-US"/>
        </w:rPr>
      </w:pPr>
    </w:p>
    <w:p w14:paraId="683BEEE7"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lastRenderedPageBreak/>
        <w:t>Hurst, Sidney (1929),</w:t>
      </w:r>
      <w:r w:rsidRPr="00C379B3">
        <w:rPr>
          <w:rFonts w:asciiTheme="minorHAnsi" w:hAnsiTheme="minorHAnsi" w:cstheme="minorHAnsi"/>
          <w:i/>
          <w:sz w:val="22"/>
          <w:szCs w:val="22"/>
          <w:lang w:val="en-US"/>
        </w:rPr>
        <w:t xml:space="preserve"> The Silent Cities</w:t>
      </w:r>
      <w:r w:rsidRPr="00C379B3">
        <w:rPr>
          <w:rFonts w:asciiTheme="minorHAnsi" w:hAnsiTheme="minorHAnsi" w:cstheme="minorHAnsi"/>
          <w:sz w:val="22"/>
          <w:szCs w:val="22"/>
          <w:lang w:val="en-US"/>
        </w:rPr>
        <w:t>, London: Methuen.</w:t>
      </w:r>
    </w:p>
    <w:p w14:paraId="5E491385" w14:textId="77777777" w:rsidR="009555FE" w:rsidRPr="00C379B3" w:rsidRDefault="009555FE" w:rsidP="009555FE">
      <w:pPr>
        <w:rPr>
          <w:rFonts w:asciiTheme="minorHAnsi" w:hAnsiTheme="minorHAnsi" w:cstheme="minorHAnsi"/>
          <w:sz w:val="22"/>
          <w:szCs w:val="22"/>
          <w:lang w:val="en-US"/>
        </w:rPr>
      </w:pPr>
    </w:p>
    <w:p w14:paraId="347EBBF8"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Iles, Jennifer (2006), ‘Recalling the Ghosts of War: Performing Tourism on the Battlefields of the Western Front’, </w:t>
      </w:r>
      <w:r w:rsidRPr="00C379B3">
        <w:rPr>
          <w:rFonts w:asciiTheme="minorHAnsi" w:hAnsiTheme="minorHAnsi" w:cstheme="minorHAnsi"/>
          <w:i/>
          <w:sz w:val="22"/>
          <w:szCs w:val="22"/>
          <w:lang w:val="en-US"/>
        </w:rPr>
        <w:t>Text and Performance Quarterly</w:t>
      </w:r>
      <w:r w:rsidRPr="00C379B3">
        <w:rPr>
          <w:rFonts w:asciiTheme="minorHAnsi" w:hAnsiTheme="minorHAnsi" w:cstheme="minorHAnsi"/>
          <w:sz w:val="22"/>
          <w:szCs w:val="22"/>
          <w:lang w:val="en-US"/>
        </w:rPr>
        <w:t>, Vol. 26, No. 2, 162-180.</w:t>
      </w:r>
    </w:p>
    <w:p w14:paraId="7CFDED16" w14:textId="77777777" w:rsidR="009555FE" w:rsidRPr="00C379B3" w:rsidRDefault="009555FE" w:rsidP="009555FE">
      <w:pPr>
        <w:rPr>
          <w:rFonts w:asciiTheme="minorHAnsi" w:hAnsiTheme="minorHAnsi" w:cstheme="minorHAnsi"/>
          <w:sz w:val="22"/>
          <w:szCs w:val="22"/>
          <w:lang w:val="en-US"/>
        </w:rPr>
      </w:pPr>
    </w:p>
    <w:p w14:paraId="347D5696" w14:textId="77777777" w:rsidR="009555FE" w:rsidRPr="00C379B3" w:rsidRDefault="009555FE" w:rsidP="009555FE">
      <w:pPr>
        <w:rPr>
          <w:rFonts w:asciiTheme="minorHAnsi" w:hAnsiTheme="minorHAnsi" w:cstheme="minorHAnsi"/>
          <w:sz w:val="22"/>
          <w:szCs w:val="22"/>
          <w:lang w:val="en-US"/>
        </w:rPr>
      </w:pPr>
      <w:proofErr w:type="spellStart"/>
      <w:r w:rsidRPr="00C379B3">
        <w:rPr>
          <w:rFonts w:asciiTheme="minorHAnsi" w:hAnsiTheme="minorHAnsi" w:cstheme="minorHAnsi"/>
          <w:sz w:val="22"/>
          <w:szCs w:val="22"/>
          <w:lang w:val="en-US"/>
        </w:rPr>
        <w:t>Ish</w:t>
      </w:r>
      <w:proofErr w:type="spellEnd"/>
      <w:r w:rsidRPr="00C379B3">
        <w:rPr>
          <w:rFonts w:asciiTheme="minorHAnsi" w:hAnsiTheme="minorHAnsi" w:cstheme="minorHAnsi"/>
          <w:sz w:val="22"/>
          <w:szCs w:val="22"/>
          <w:lang w:val="en-US"/>
        </w:rPr>
        <w:t xml:space="preserve">, </w:t>
      </w:r>
      <w:proofErr w:type="spellStart"/>
      <w:r w:rsidRPr="00C379B3">
        <w:rPr>
          <w:rFonts w:asciiTheme="minorHAnsi" w:hAnsiTheme="minorHAnsi" w:cstheme="minorHAnsi"/>
          <w:sz w:val="22"/>
          <w:szCs w:val="22"/>
          <w:lang w:val="en-US"/>
        </w:rPr>
        <w:t>Lyx</w:t>
      </w:r>
      <w:proofErr w:type="spellEnd"/>
      <w:r w:rsidRPr="00C379B3">
        <w:rPr>
          <w:rFonts w:asciiTheme="minorHAnsi" w:hAnsiTheme="minorHAnsi" w:cstheme="minorHAnsi"/>
          <w:sz w:val="22"/>
          <w:szCs w:val="22"/>
          <w:lang w:val="en-US"/>
        </w:rPr>
        <w:t xml:space="preserve"> (1999), “Peeing on a lily pad (and other musings on gardens and art)” in: Peter Lamborn Wilson and Bill Weinberg (eds.), </w:t>
      </w:r>
      <w:r w:rsidRPr="00C379B3">
        <w:rPr>
          <w:rFonts w:asciiTheme="minorHAnsi" w:hAnsiTheme="minorHAnsi" w:cstheme="minorHAnsi"/>
          <w:i/>
          <w:sz w:val="22"/>
          <w:szCs w:val="22"/>
          <w:lang w:val="en-US"/>
        </w:rPr>
        <w:t xml:space="preserve">Avant Gardening: Ecological Struggle in the City and the World, </w:t>
      </w:r>
      <w:r w:rsidRPr="00C379B3">
        <w:rPr>
          <w:rFonts w:asciiTheme="minorHAnsi" w:hAnsiTheme="minorHAnsi" w:cstheme="minorHAnsi"/>
          <w:sz w:val="22"/>
          <w:szCs w:val="22"/>
          <w:lang w:val="en-US"/>
        </w:rPr>
        <w:t xml:space="preserve">New York: </w:t>
      </w:r>
      <w:proofErr w:type="spellStart"/>
      <w:r w:rsidRPr="00C379B3">
        <w:rPr>
          <w:rFonts w:asciiTheme="minorHAnsi" w:hAnsiTheme="minorHAnsi" w:cstheme="minorHAnsi"/>
          <w:sz w:val="22"/>
          <w:szCs w:val="22"/>
          <w:lang w:val="en-US"/>
        </w:rPr>
        <w:t>Autonomedia</w:t>
      </w:r>
      <w:proofErr w:type="spellEnd"/>
      <w:r w:rsidRPr="00C379B3">
        <w:rPr>
          <w:rFonts w:asciiTheme="minorHAnsi" w:hAnsiTheme="minorHAnsi" w:cstheme="minorHAnsi"/>
          <w:sz w:val="22"/>
          <w:szCs w:val="22"/>
          <w:lang w:val="en-US"/>
        </w:rPr>
        <w:t>, 117-126.</w:t>
      </w:r>
    </w:p>
    <w:p w14:paraId="476F7A0E" w14:textId="77777777" w:rsidR="009555FE" w:rsidRPr="00C379B3" w:rsidRDefault="009555FE" w:rsidP="009555FE">
      <w:pPr>
        <w:rPr>
          <w:rFonts w:asciiTheme="minorHAnsi" w:hAnsiTheme="minorHAnsi" w:cstheme="minorHAnsi"/>
          <w:sz w:val="22"/>
          <w:szCs w:val="22"/>
          <w:lang w:val="en-US"/>
        </w:rPr>
      </w:pPr>
    </w:p>
    <w:p w14:paraId="1AAA4274"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Longworth, Philip (1967), </w:t>
      </w:r>
      <w:r w:rsidRPr="00C379B3">
        <w:rPr>
          <w:rFonts w:asciiTheme="minorHAnsi" w:hAnsiTheme="minorHAnsi" w:cstheme="minorHAnsi"/>
          <w:i/>
          <w:sz w:val="22"/>
          <w:szCs w:val="22"/>
          <w:lang w:val="en-US"/>
        </w:rPr>
        <w:t xml:space="preserve">The Unending Vigil, </w:t>
      </w:r>
      <w:r w:rsidRPr="00C379B3">
        <w:rPr>
          <w:rFonts w:asciiTheme="minorHAnsi" w:hAnsiTheme="minorHAnsi" w:cstheme="minorHAnsi"/>
          <w:sz w:val="22"/>
          <w:szCs w:val="22"/>
          <w:lang w:val="en-US"/>
        </w:rPr>
        <w:t>London, Commonwealth War Graves Commission.</w:t>
      </w:r>
    </w:p>
    <w:p w14:paraId="10C42E0A" w14:textId="77777777" w:rsidR="009555FE" w:rsidRPr="00C379B3" w:rsidRDefault="009555FE" w:rsidP="009555FE">
      <w:pPr>
        <w:rPr>
          <w:rFonts w:asciiTheme="minorHAnsi" w:hAnsiTheme="minorHAnsi" w:cstheme="minorHAnsi"/>
          <w:sz w:val="22"/>
          <w:szCs w:val="22"/>
          <w:lang w:val="en-US"/>
        </w:rPr>
      </w:pPr>
    </w:p>
    <w:p w14:paraId="5126FD90"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Lowenthal, David (1985), </w:t>
      </w:r>
      <w:r w:rsidRPr="00C379B3">
        <w:rPr>
          <w:rFonts w:asciiTheme="minorHAnsi" w:hAnsiTheme="minorHAnsi" w:cstheme="minorHAnsi"/>
          <w:i/>
          <w:sz w:val="22"/>
          <w:szCs w:val="22"/>
          <w:lang w:val="en-US"/>
        </w:rPr>
        <w:t>The Past is a Foreign Country</w:t>
      </w:r>
      <w:r w:rsidRPr="00C379B3">
        <w:rPr>
          <w:rFonts w:asciiTheme="minorHAnsi" w:hAnsiTheme="minorHAnsi" w:cstheme="minorHAnsi"/>
          <w:sz w:val="22"/>
          <w:szCs w:val="22"/>
          <w:lang w:val="en-US"/>
        </w:rPr>
        <w:t>, Cambridge: Cambridge University Press.</w:t>
      </w:r>
    </w:p>
    <w:p w14:paraId="5FDA6589" w14:textId="77777777" w:rsidR="009555FE" w:rsidRPr="00C379B3" w:rsidRDefault="009555FE" w:rsidP="009555FE">
      <w:pPr>
        <w:rPr>
          <w:rFonts w:asciiTheme="minorHAnsi" w:hAnsiTheme="minorHAnsi" w:cstheme="minorHAnsi"/>
          <w:sz w:val="22"/>
          <w:szCs w:val="22"/>
          <w:lang w:val="en-US"/>
        </w:rPr>
      </w:pPr>
    </w:p>
    <w:p w14:paraId="58762C02"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McKay, George (2001), </w:t>
      </w:r>
      <w:r w:rsidRPr="00C379B3">
        <w:rPr>
          <w:rFonts w:asciiTheme="minorHAnsi" w:hAnsiTheme="minorHAnsi" w:cstheme="minorHAnsi"/>
          <w:i/>
          <w:sz w:val="22"/>
          <w:szCs w:val="22"/>
          <w:lang w:val="en-US"/>
        </w:rPr>
        <w:t>Radical Gardening: Politics, Idealism and Rebellion in the Garden,</w:t>
      </w:r>
      <w:r w:rsidRPr="00C379B3">
        <w:rPr>
          <w:rFonts w:asciiTheme="minorHAnsi" w:hAnsiTheme="minorHAnsi" w:cstheme="minorHAnsi"/>
          <w:sz w:val="22"/>
          <w:szCs w:val="22"/>
          <w:lang w:val="en-US"/>
        </w:rPr>
        <w:t xml:space="preserve"> London: Frances Lincoln.  </w:t>
      </w:r>
    </w:p>
    <w:p w14:paraId="48833081" w14:textId="77777777" w:rsidR="009555FE" w:rsidRPr="00C379B3" w:rsidRDefault="009555FE" w:rsidP="009555FE">
      <w:pPr>
        <w:rPr>
          <w:rFonts w:asciiTheme="minorHAnsi" w:hAnsiTheme="minorHAnsi" w:cstheme="minorHAnsi"/>
          <w:sz w:val="22"/>
          <w:szCs w:val="22"/>
          <w:lang w:val="en-US"/>
        </w:rPr>
      </w:pPr>
    </w:p>
    <w:p w14:paraId="6BE88E4A" w14:textId="77777777" w:rsidR="009555FE" w:rsidRPr="00C379B3" w:rsidRDefault="009555FE" w:rsidP="009555FE">
      <w:pPr>
        <w:rPr>
          <w:rFonts w:asciiTheme="minorHAnsi" w:hAnsiTheme="minorHAnsi" w:cstheme="minorHAnsi"/>
          <w:color w:val="000000"/>
          <w:sz w:val="22"/>
          <w:szCs w:val="22"/>
          <w:lang w:val="en-US"/>
        </w:rPr>
      </w:pPr>
      <w:r w:rsidRPr="00C379B3">
        <w:rPr>
          <w:rFonts w:asciiTheme="minorHAnsi" w:hAnsiTheme="minorHAnsi" w:cstheme="minorHAnsi"/>
          <w:color w:val="000000"/>
          <w:sz w:val="22"/>
          <w:szCs w:val="22"/>
          <w:lang w:val="en-US"/>
        </w:rPr>
        <w:t>Morris, Mandy S. (1997), “‘Gardens ‘</w:t>
      </w:r>
      <w:proofErr w:type="spellStart"/>
      <w:r w:rsidRPr="00C379B3">
        <w:rPr>
          <w:rFonts w:asciiTheme="minorHAnsi" w:hAnsiTheme="minorHAnsi" w:cstheme="minorHAnsi"/>
          <w:color w:val="000000"/>
          <w:sz w:val="22"/>
          <w:szCs w:val="22"/>
          <w:lang w:val="en-US"/>
        </w:rPr>
        <w:t>for ever</w:t>
      </w:r>
      <w:proofErr w:type="spellEnd"/>
      <w:r w:rsidRPr="00C379B3">
        <w:rPr>
          <w:rFonts w:asciiTheme="minorHAnsi" w:hAnsiTheme="minorHAnsi" w:cstheme="minorHAnsi"/>
          <w:color w:val="000000"/>
          <w:sz w:val="22"/>
          <w:szCs w:val="22"/>
          <w:lang w:val="en-US"/>
        </w:rPr>
        <w:t xml:space="preserve"> England’: Landscape, Identity and the First World War British Cemeteries on the Western Front”, </w:t>
      </w:r>
      <w:r w:rsidRPr="00C379B3">
        <w:rPr>
          <w:rFonts w:asciiTheme="minorHAnsi" w:hAnsiTheme="minorHAnsi" w:cstheme="minorHAnsi"/>
          <w:i/>
          <w:iCs/>
          <w:color w:val="000000"/>
          <w:sz w:val="22"/>
          <w:szCs w:val="22"/>
          <w:lang w:val="en-US"/>
        </w:rPr>
        <w:t>Ecumene</w:t>
      </w:r>
      <w:r w:rsidRPr="00C379B3">
        <w:rPr>
          <w:rFonts w:asciiTheme="minorHAnsi" w:hAnsiTheme="minorHAnsi" w:cstheme="minorHAnsi"/>
          <w:color w:val="000000"/>
          <w:sz w:val="22"/>
          <w:szCs w:val="22"/>
          <w:lang w:val="en-US"/>
        </w:rPr>
        <w:t>, Vol.4, 410-434.</w:t>
      </w:r>
    </w:p>
    <w:p w14:paraId="53A7AD62" w14:textId="77777777" w:rsidR="009555FE" w:rsidRPr="00C379B3" w:rsidRDefault="009555FE" w:rsidP="009555FE">
      <w:pPr>
        <w:rPr>
          <w:rFonts w:asciiTheme="minorHAnsi" w:hAnsiTheme="minorHAnsi" w:cstheme="minorHAnsi"/>
          <w:color w:val="000000"/>
          <w:sz w:val="22"/>
          <w:szCs w:val="22"/>
          <w:lang w:val="en-US"/>
        </w:rPr>
      </w:pPr>
    </w:p>
    <w:p w14:paraId="62B37638" w14:textId="77777777" w:rsidR="009555FE" w:rsidRPr="00C379B3" w:rsidRDefault="009555FE" w:rsidP="009555FE">
      <w:pPr>
        <w:rPr>
          <w:rFonts w:asciiTheme="minorHAnsi" w:hAnsiTheme="minorHAnsi" w:cstheme="minorHAnsi"/>
          <w:sz w:val="22"/>
          <w:szCs w:val="22"/>
          <w:lang w:val="en-US"/>
        </w:rPr>
      </w:pPr>
      <w:proofErr w:type="spellStart"/>
      <w:r w:rsidRPr="00C379B3">
        <w:rPr>
          <w:rFonts w:asciiTheme="minorHAnsi" w:hAnsiTheme="minorHAnsi" w:cstheme="minorHAnsi"/>
          <w:sz w:val="22"/>
          <w:szCs w:val="22"/>
          <w:lang w:val="en-US"/>
        </w:rPr>
        <w:t>Mosse</w:t>
      </w:r>
      <w:proofErr w:type="spellEnd"/>
      <w:r w:rsidRPr="00C379B3">
        <w:rPr>
          <w:rFonts w:asciiTheme="minorHAnsi" w:hAnsiTheme="minorHAnsi" w:cstheme="minorHAnsi"/>
          <w:sz w:val="22"/>
          <w:szCs w:val="22"/>
          <w:lang w:val="en-US"/>
        </w:rPr>
        <w:t xml:space="preserve">, George L. (1990), </w:t>
      </w:r>
      <w:r w:rsidRPr="00C379B3">
        <w:rPr>
          <w:rFonts w:asciiTheme="minorHAnsi" w:hAnsiTheme="minorHAnsi" w:cstheme="minorHAnsi"/>
          <w:i/>
          <w:sz w:val="22"/>
          <w:szCs w:val="22"/>
          <w:lang w:val="en-US"/>
        </w:rPr>
        <w:t>Fallen Soldiers: Reshaping the Memory of the World Wars</w:t>
      </w:r>
      <w:r w:rsidRPr="00C379B3">
        <w:rPr>
          <w:rFonts w:asciiTheme="minorHAnsi" w:hAnsiTheme="minorHAnsi" w:cstheme="minorHAnsi"/>
          <w:sz w:val="22"/>
          <w:szCs w:val="22"/>
          <w:lang w:val="en-US"/>
        </w:rPr>
        <w:t>, Oxford: Oxford University Press.</w:t>
      </w:r>
    </w:p>
    <w:p w14:paraId="19CB3895" w14:textId="77777777" w:rsidR="009555FE" w:rsidRPr="00C379B3" w:rsidRDefault="009555FE" w:rsidP="009555FE">
      <w:pPr>
        <w:spacing w:before="100" w:beforeAutospacing="1" w:after="100" w:afterAutospacing="1"/>
        <w:outlineLvl w:val="0"/>
        <w:rPr>
          <w:rFonts w:asciiTheme="minorHAnsi" w:hAnsiTheme="minorHAnsi" w:cstheme="minorHAnsi"/>
          <w:kern w:val="36"/>
          <w:sz w:val="22"/>
          <w:szCs w:val="22"/>
          <w:lang w:val="en-US"/>
        </w:rPr>
      </w:pPr>
      <w:r w:rsidRPr="00C379B3">
        <w:rPr>
          <w:rFonts w:asciiTheme="minorHAnsi" w:hAnsiTheme="minorHAnsi" w:cstheme="minorHAnsi"/>
          <w:kern w:val="36"/>
          <w:sz w:val="22"/>
          <w:szCs w:val="22"/>
          <w:lang w:val="en-US"/>
        </w:rPr>
        <w:t xml:space="preserve">Pollan, Michael (1991), </w:t>
      </w:r>
      <w:r w:rsidRPr="00C379B3">
        <w:rPr>
          <w:rFonts w:asciiTheme="minorHAnsi" w:hAnsiTheme="minorHAnsi" w:cstheme="minorHAnsi"/>
          <w:i/>
          <w:kern w:val="36"/>
          <w:sz w:val="22"/>
          <w:szCs w:val="22"/>
          <w:lang w:val="en-US"/>
        </w:rPr>
        <w:t xml:space="preserve">Second Nature: A Gardener's Education, </w:t>
      </w:r>
      <w:r w:rsidRPr="00C379B3">
        <w:rPr>
          <w:rFonts w:asciiTheme="minorHAnsi" w:hAnsiTheme="minorHAnsi" w:cstheme="minorHAnsi"/>
          <w:kern w:val="36"/>
          <w:sz w:val="22"/>
          <w:szCs w:val="22"/>
          <w:lang w:val="en-US"/>
        </w:rPr>
        <w:t>New York: Atlantic Monthly Press.</w:t>
      </w:r>
    </w:p>
    <w:p w14:paraId="244677BC" w14:textId="77777777" w:rsidR="009555FE" w:rsidRPr="00C379B3" w:rsidRDefault="009555FE" w:rsidP="009555FE">
      <w:pPr>
        <w:rPr>
          <w:rFonts w:asciiTheme="minorHAnsi" w:hAnsiTheme="minorHAnsi" w:cstheme="minorHAnsi"/>
          <w:iCs/>
          <w:sz w:val="22"/>
          <w:szCs w:val="22"/>
          <w:lang w:val="en-US"/>
        </w:rPr>
      </w:pPr>
      <w:r w:rsidRPr="00C379B3">
        <w:rPr>
          <w:rFonts w:asciiTheme="minorHAnsi" w:hAnsiTheme="minorHAnsi" w:cstheme="minorHAnsi"/>
          <w:sz w:val="22"/>
          <w:szCs w:val="22"/>
        </w:rPr>
        <w:t>Rodwell, John (2008), “</w:t>
      </w:r>
      <w:r w:rsidRPr="00C379B3">
        <w:rPr>
          <w:rFonts w:asciiTheme="minorHAnsi" w:hAnsiTheme="minorHAnsi" w:cstheme="minorHAnsi"/>
          <w:sz w:val="22"/>
          <w:szCs w:val="22"/>
          <w:lang w:val="en-US"/>
        </w:rPr>
        <w:t xml:space="preserve">Forgetting the land”, </w:t>
      </w:r>
      <w:r w:rsidRPr="00C379B3">
        <w:rPr>
          <w:rFonts w:asciiTheme="minorHAnsi" w:hAnsiTheme="minorHAnsi" w:cstheme="minorHAnsi"/>
          <w:i/>
          <w:sz w:val="22"/>
          <w:szCs w:val="22"/>
          <w:lang w:val="en-US"/>
        </w:rPr>
        <w:t>Studies in Christian Ethics</w:t>
      </w:r>
      <w:r w:rsidRPr="00C379B3">
        <w:rPr>
          <w:rFonts w:asciiTheme="minorHAnsi" w:hAnsiTheme="minorHAnsi" w:cstheme="minorHAnsi"/>
          <w:sz w:val="22"/>
          <w:szCs w:val="22"/>
          <w:lang w:val="en-US"/>
        </w:rPr>
        <w:t xml:space="preserve">, </w:t>
      </w:r>
      <w:r w:rsidRPr="00C379B3">
        <w:rPr>
          <w:rFonts w:asciiTheme="minorHAnsi" w:hAnsiTheme="minorHAnsi" w:cstheme="minorHAnsi"/>
          <w:iCs/>
          <w:sz w:val="22"/>
          <w:szCs w:val="22"/>
          <w:lang w:val="en-US"/>
        </w:rPr>
        <w:t>Vol. 21, 2, 269-286.</w:t>
      </w:r>
    </w:p>
    <w:p w14:paraId="3E6C2557" w14:textId="77777777" w:rsidR="009555FE" w:rsidRPr="00C379B3" w:rsidRDefault="009555FE" w:rsidP="009555FE">
      <w:pPr>
        <w:rPr>
          <w:rFonts w:asciiTheme="minorHAnsi" w:hAnsiTheme="minorHAnsi" w:cstheme="minorHAnsi"/>
          <w:sz w:val="22"/>
          <w:szCs w:val="22"/>
          <w:lang w:val="en-US"/>
        </w:rPr>
      </w:pPr>
    </w:p>
    <w:p w14:paraId="55E13D5E"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Rowlands, Michael (1999), “Remembering to Forget: Sublimation as Sacrifice in War Memorials”, in: Adrian Forty and Susan </w:t>
      </w:r>
      <w:proofErr w:type="spellStart"/>
      <w:r w:rsidRPr="00C379B3">
        <w:rPr>
          <w:rFonts w:asciiTheme="minorHAnsi" w:hAnsiTheme="minorHAnsi" w:cstheme="minorHAnsi"/>
          <w:sz w:val="22"/>
          <w:szCs w:val="22"/>
          <w:lang w:val="en-US"/>
        </w:rPr>
        <w:t>Kuchler</w:t>
      </w:r>
      <w:proofErr w:type="spellEnd"/>
      <w:r w:rsidRPr="00C379B3">
        <w:rPr>
          <w:rFonts w:asciiTheme="minorHAnsi" w:hAnsiTheme="minorHAnsi" w:cstheme="minorHAnsi"/>
          <w:sz w:val="22"/>
          <w:szCs w:val="22"/>
          <w:lang w:val="en-US"/>
        </w:rPr>
        <w:t xml:space="preserve"> (eds.) </w:t>
      </w:r>
      <w:r w:rsidRPr="00C379B3">
        <w:rPr>
          <w:rFonts w:asciiTheme="minorHAnsi" w:hAnsiTheme="minorHAnsi" w:cstheme="minorHAnsi"/>
          <w:color w:val="000000"/>
          <w:sz w:val="22"/>
          <w:szCs w:val="22"/>
          <w:lang w:val="en-US"/>
        </w:rPr>
        <w:t xml:space="preserve">(1999), </w:t>
      </w:r>
      <w:r w:rsidRPr="00C379B3">
        <w:rPr>
          <w:rFonts w:asciiTheme="minorHAnsi" w:hAnsiTheme="minorHAnsi" w:cstheme="minorHAnsi"/>
          <w:i/>
          <w:color w:val="000000"/>
          <w:sz w:val="22"/>
          <w:szCs w:val="22"/>
          <w:lang w:val="en-US"/>
        </w:rPr>
        <w:t>The Art of Forgetting</w:t>
      </w:r>
      <w:r w:rsidRPr="00C379B3">
        <w:rPr>
          <w:rFonts w:asciiTheme="minorHAnsi" w:hAnsiTheme="minorHAnsi" w:cstheme="minorHAnsi"/>
          <w:color w:val="000000"/>
          <w:sz w:val="22"/>
          <w:szCs w:val="22"/>
          <w:lang w:val="en-US"/>
        </w:rPr>
        <w:t>, Oxford: Berg,</w:t>
      </w:r>
      <w:r w:rsidRPr="00C379B3">
        <w:rPr>
          <w:rFonts w:asciiTheme="minorHAnsi" w:hAnsiTheme="minorHAnsi" w:cstheme="minorHAnsi"/>
          <w:sz w:val="22"/>
          <w:szCs w:val="22"/>
          <w:lang w:val="en-US"/>
        </w:rPr>
        <w:t xml:space="preserve"> 129-147.</w:t>
      </w:r>
    </w:p>
    <w:p w14:paraId="3CFC12EB" w14:textId="77777777" w:rsidR="009555FE" w:rsidRPr="00C379B3" w:rsidRDefault="009555FE" w:rsidP="009555FE">
      <w:pPr>
        <w:rPr>
          <w:rFonts w:asciiTheme="minorHAnsi" w:hAnsiTheme="minorHAnsi" w:cstheme="minorHAnsi"/>
          <w:sz w:val="22"/>
          <w:szCs w:val="22"/>
          <w:lang w:val="en-US"/>
        </w:rPr>
      </w:pPr>
    </w:p>
    <w:p w14:paraId="2D6E9E0F" w14:textId="77777777" w:rsidR="009555FE" w:rsidRPr="00C379B3" w:rsidRDefault="009555FE" w:rsidP="0095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2"/>
          <w:szCs w:val="22"/>
          <w:lang w:val="en-US"/>
        </w:rPr>
      </w:pPr>
      <w:r w:rsidRPr="00C379B3">
        <w:rPr>
          <w:rFonts w:asciiTheme="minorHAnsi" w:hAnsiTheme="minorHAnsi" w:cstheme="minorHAnsi"/>
          <w:color w:val="000000"/>
          <w:sz w:val="22"/>
          <w:szCs w:val="22"/>
          <w:lang w:val="en-US"/>
        </w:rPr>
        <w:t xml:space="preserve">Samuel, Raphael (1989) “Exciting to be English” in: Raphael Samuel (ed.), </w:t>
      </w:r>
      <w:r w:rsidRPr="00C379B3">
        <w:rPr>
          <w:rFonts w:asciiTheme="minorHAnsi" w:hAnsiTheme="minorHAnsi" w:cstheme="minorHAnsi"/>
          <w:i/>
          <w:color w:val="000000"/>
          <w:sz w:val="22"/>
          <w:szCs w:val="22"/>
          <w:lang w:val="en-US"/>
        </w:rPr>
        <w:t>Patriotism: The Making and Unmaking of British National Identity</w:t>
      </w:r>
      <w:r w:rsidRPr="00C379B3">
        <w:rPr>
          <w:rFonts w:asciiTheme="minorHAnsi" w:hAnsiTheme="minorHAnsi" w:cstheme="minorHAnsi"/>
          <w:color w:val="000000"/>
          <w:sz w:val="22"/>
          <w:szCs w:val="22"/>
          <w:lang w:val="en-US"/>
        </w:rPr>
        <w:t xml:space="preserve">, Vol. 1. London: Routledge, </w:t>
      </w:r>
    </w:p>
    <w:p w14:paraId="07B27361" w14:textId="77777777" w:rsidR="009555FE" w:rsidRPr="00C379B3" w:rsidRDefault="009555FE" w:rsidP="0095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2"/>
          <w:szCs w:val="22"/>
          <w:lang w:val="en-US"/>
        </w:rPr>
      </w:pPr>
    </w:p>
    <w:p w14:paraId="6401001E" w14:textId="77777777" w:rsidR="009555FE" w:rsidRPr="00C379B3" w:rsidRDefault="009555FE" w:rsidP="009555FE">
      <w:pPr>
        <w:rPr>
          <w:rFonts w:asciiTheme="minorHAnsi" w:hAnsiTheme="minorHAnsi" w:cstheme="minorHAnsi"/>
          <w:color w:val="000000"/>
          <w:sz w:val="22"/>
          <w:szCs w:val="22"/>
          <w:lang w:val="en-US"/>
        </w:rPr>
      </w:pPr>
      <w:r w:rsidRPr="00C379B3">
        <w:rPr>
          <w:rFonts w:asciiTheme="minorHAnsi" w:hAnsiTheme="minorHAnsi" w:cstheme="minorHAnsi"/>
          <w:sz w:val="22"/>
          <w:szCs w:val="22"/>
          <w:lang w:val="en-US"/>
        </w:rPr>
        <w:t xml:space="preserve">Saunders, Nicholas (2001), “Matter and memory in the landscapes of conflict: </w:t>
      </w:r>
      <w:proofErr w:type="gramStart"/>
      <w:r w:rsidRPr="00C379B3">
        <w:rPr>
          <w:rFonts w:asciiTheme="minorHAnsi" w:hAnsiTheme="minorHAnsi" w:cstheme="minorHAnsi"/>
          <w:sz w:val="22"/>
          <w:szCs w:val="22"/>
          <w:lang w:val="en-US"/>
        </w:rPr>
        <w:t>the</w:t>
      </w:r>
      <w:proofErr w:type="gramEnd"/>
      <w:r w:rsidRPr="00C379B3">
        <w:rPr>
          <w:rFonts w:asciiTheme="minorHAnsi" w:hAnsiTheme="minorHAnsi" w:cstheme="minorHAnsi"/>
          <w:sz w:val="22"/>
          <w:szCs w:val="22"/>
          <w:lang w:val="en-US"/>
        </w:rPr>
        <w:t xml:space="preserve"> Western Front, 1914-1919”, in Barbara Bender and Margot Winer (eds.)</w:t>
      </w:r>
      <w:r w:rsidRPr="00C379B3">
        <w:rPr>
          <w:rFonts w:asciiTheme="minorHAnsi" w:hAnsiTheme="minorHAnsi" w:cstheme="minorHAnsi"/>
          <w:color w:val="000000"/>
          <w:sz w:val="22"/>
          <w:szCs w:val="22"/>
          <w:lang w:val="en-US"/>
        </w:rPr>
        <w:t xml:space="preserve"> (2001), </w:t>
      </w:r>
      <w:r w:rsidRPr="00C379B3">
        <w:rPr>
          <w:rFonts w:asciiTheme="minorHAnsi" w:hAnsiTheme="minorHAnsi" w:cstheme="minorHAnsi"/>
          <w:i/>
          <w:color w:val="000000"/>
          <w:sz w:val="22"/>
          <w:szCs w:val="22"/>
          <w:lang w:val="en-US"/>
        </w:rPr>
        <w:t>Contested Landscapes: Movement, Exile and Place</w:t>
      </w:r>
      <w:r w:rsidRPr="00C379B3">
        <w:rPr>
          <w:rFonts w:asciiTheme="minorHAnsi" w:hAnsiTheme="minorHAnsi" w:cstheme="minorHAnsi"/>
          <w:color w:val="000000"/>
          <w:sz w:val="22"/>
          <w:szCs w:val="22"/>
          <w:lang w:val="en-US"/>
        </w:rPr>
        <w:t xml:space="preserve">, Oxford: Berg, </w:t>
      </w:r>
    </w:p>
    <w:p w14:paraId="45B3B7CE" w14:textId="77777777" w:rsidR="009555FE" w:rsidRPr="00C379B3" w:rsidRDefault="009555FE" w:rsidP="009555FE">
      <w:pPr>
        <w:rPr>
          <w:rFonts w:asciiTheme="minorHAnsi" w:hAnsiTheme="minorHAnsi" w:cstheme="minorHAnsi"/>
          <w:color w:val="000000"/>
          <w:sz w:val="22"/>
          <w:szCs w:val="22"/>
          <w:lang w:val="en-US"/>
        </w:rPr>
      </w:pPr>
    </w:p>
    <w:p w14:paraId="1A9F3C72"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Shepheard, Paul (1997), </w:t>
      </w:r>
      <w:r w:rsidRPr="00C379B3">
        <w:rPr>
          <w:rFonts w:asciiTheme="minorHAnsi" w:hAnsiTheme="minorHAnsi" w:cstheme="minorHAnsi"/>
          <w:i/>
          <w:sz w:val="22"/>
          <w:szCs w:val="22"/>
          <w:lang w:val="en-US"/>
        </w:rPr>
        <w:t xml:space="preserve">The Cultivated Wilderness: or, what is </w:t>
      </w:r>
      <w:proofErr w:type="gramStart"/>
      <w:r w:rsidRPr="00C379B3">
        <w:rPr>
          <w:rFonts w:asciiTheme="minorHAnsi" w:hAnsiTheme="minorHAnsi" w:cstheme="minorHAnsi"/>
          <w:i/>
          <w:sz w:val="22"/>
          <w:szCs w:val="22"/>
          <w:lang w:val="en-US"/>
        </w:rPr>
        <w:t>landscape?</w:t>
      </w:r>
      <w:r w:rsidRPr="00C379B3">
        <w:rPr>
          <w:rFonts w:asciiTheme="minorHAnsi" w:hAnsiTheme="minorHAnsi" w:cstheme="minorHAnsi"/>
          <w:sz w:val="22"/>
          <w:szCs w:val="22"/>
          <w:lang w:val="en-US"/>
        </w:rPr>
        <w:t>,</w:t>
      </w:r>
      <w:proofErr w:type="gramEnd"/>
      <w:r w:rsidRPr="00C379B3">
        <w:rPr>
          <w:rFonts w:asciiTheme="minorHAnsi" w:hAnsiTheme="minorHAnsi" w:cstheme="minorHAnsi"/>
          <w:sz w:val="22"/>
          <w:szCs w:val="22"/>
          <w:lang w:val="en-US"/>
        </w:rPr>
        <w:t xml:space="preserve"> Cambridge: MIT Press.</w:t>
      </w:r>
    </w:p>
    <w:p w14:paraId="69DE9663" w14:textId="77777777" w:rsidR="009555FE" w:rsidRPr="00C379B3" w:rsidRDefault="009555FE" w:rsidP="009555FE">
      <w:pPr>
        <w:rPr>
          <w:rFonts w:asciiTheme="minorHAnsi" w:hAnsiTheme="minorHAnsi" w:cstheme="minorHAnsi"/>
          <w:sz w:val="22"/>
          <w:szCs w:val="22"/>
          <w:lang w:val="en-US"/>
        </w:rPr>
      </w:pPr>
    </w:p>
    <w:p w14:paraId="1B3C3DEB"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Walter, Tony (ed.) (1999), </w:t>
      </w:r>
      <w:r w:rsidRPr="00C379B3">
        <w:rPr>
          <w:rFonts w:asciiTheme="minorHAnsi" w:hAnsiTheme="minorHAnsi" w:cstheme="minorHAnsi"/>
          <w:i/>
          <w:sz w:val="22"/>
          <w:szCs w:val="22"/>
          <w:lang w:val="en-US"/>
        </w:rPr>
        <w:t>The Mourning for Diana</w:t>
      </w:r>
      <w:r w:rsidRPr="00C379B3">
        <w:rPr>
          <w:rFonts w:asciiTheme="minorHAnsi" w:hAnsiTheme="minorHAnsi" w:cstheme="minorHAnsi"/>
          <w:sz w:val="22"/>
          <w:szCs w:val="22"/>
          <w:lang w:val="en-US"/>
        </w:rPr>
        <w:t>, London: Berg.</w:t>
      </w:r>
    </w:p>
    <w:p w14:paraId="71200DB3" w14:textId="77777777" w:rsidR="009555FE" w:rsidRPr="00C379B3" w:rsidRDefault="009555FE" w:rsidP="009555FE">
      <w:pPr>
        <w:rPr>
          <w:rFonts w:asciiTheme="minorHAnsi" w:hAnsiTheme="minorHAnsi" w:cstheme="minorHAnsi"/>
          <w:sz w:val="22"/>
          <w:szCs w:val="22"/>
          <w:lang w:val="en-US"/>
        </w:rPr>
      </w:pPr>
    </w:p>
    <w:p w14:paraId="75BA881B" w14:textId="77777777" w:rsidR="009555FE" w:rsidRPr="00C379B3" w:rsidRDefault="009555FE" w:rsidP="009555FE">
      <w:pPr>
        <w:rPr>
          <w:rFonts w:asciiTheme="minorHAnsi" w:hAnsiTheme="minorHAnsi" w:cstheme="minorHAnsi"/>
          <w:color w:val="000000"/>
          <w:sz w:val="22"/>
          <w:szCs w:val="22"/>
          <w:lang w:val="en-US"/>
        </w:rPr>
      </w:pPr>
      <w:r w:rsidRPr="00C379B3">
        <w:rPr>
          <w:rFonts w:asciiTheme="minorHAnsi" w:hAnsiTheme="minorHAnsi" w:cstheme="minorHAnsi"/>
          <w:color w:val="000000"/>
          <w:sz w:val="22"/>
          <w:szCs w:val="22"/>
          <w:lang w:val="en-US"/>
        </w:rPr>
        <w:t xml:space="preserve">Ware, Fabian (1929), “The Price of Peace”, </w:t>
      </w:r>
      <w:r w:rsidRPr="00C379B3">
        <w:rPr>
          <w:rFonts w:asciiTheme="minorHAnsi" w:hAnsiTheme="minorHAnsi" w:cstheme="minorHAnsi"/>
          <w:i/>
          <w:color w:val="000000"/>
          <w:sz w:val="22"/>
          <w:szCs w:val="22"/>
          <w:lang w:val="en-US"/>
        </w:rPr>
        <w:t>The Listener</w:t>
      </w:r>
      <w:r w:rsidRPr="00C379B3">
        <w:rPr>
          <w:rFonts w:asciiTheme="minorHAnsi" w:hAnsiTheme="minorHAnsi" w:cstheme="minorHAnsi"/>
          <w:color w:val="000000"/>
          <w:sz w:val="22"/>
          <w:szCs w:val="22"/>
          <w:lang w:val="en-US"/>
        </w:rPr>
        <w:t>, II, 636-7.</w:t>
      </w:r>
    </w:p>
    <w:p w14:paraId="10046C39" w14:textId="77777777" w:rsidR="009555FE" w:rsidRPr="00C379B3" w:rsidRDefault="009555FE" w:rsidP="009555FE">
      <w:pPr>
        <w:rPr>
          <w:rFonts w:asciiTheme="minorHAnsi" w:hAnsiTheme="minorHAnsi" w:cstheme="minorHAnsi"/>
          <w:color w:val="000000"/>
          <w:sz w:val="22"/>
          <w:szCs w:val="22"/>
          <w:lang w:val="en-US"/>
        </w:rPr>
      </w:pPr>
    </w:p>
    <w:p w14:paraId="14B8764A" w14:textId="77777777" w:rsidR="009555FE" w:rsidRPr="00C379B3" w:rsidRDefault="009555FE" w:rsidP="009555FE">
      <w:pPr>
        <w:rPr>
          <w:rFonts w:asciiTheme="minorHAnsi" w:hAnsiTheme="minorHAnsi" w:cstheme="minorHAnsi"/>
          <w:sz w:val="22"/>
          <w:szCs w:val="22"/>
          <w:lang w:val="en-US"/>
        </w:rPr>
      </w:pPr>
      <w:r w:rsidRPr="00C379B3">
        <w:rPr>
          <w:rFonts w:asciiTheme="minorHAnsi" w:hAnsiTheme="minorHAnsi" w:cstheme="minorHAnsi"/>
          <w:sz w:val="22"/>
          <w:szCs w:val="22"/>
          <w:lang w:val="en-US"/>
        </w:rPr>
        <w:t xml:space="preserve">Winter, Jay (1995), </w:t>
      </w:r>
      <w:r w:rsidRPr="00C379B3">
        <w:rPr>
          <w:rFonts w:asciiTheme="minorHAnsi" w:hAnsiTheme="minorHAnsi" w:cstheme="minorHAnsi"/>
          <w:i/>
          <w:sz w:val="22"/>
          <w:szCs w:val="22"/>
          <w:lang w:val="en-US"/>
        </w:rPr>
        <w:t>Sites of Memory, Sites of Mourning,</w:t>
      </w:r>
      <w:r w:rsidRPr="00C379B3">
        <w:rPr>
          <w:rFonts w:asciiTheme="minorHAnsi" w:hAnsiTheme="minorHAnsi" w:cstheme="minorHAnsi"/>
          <w:sz w:val="22"/>
          <w:szCs w:val="22"/>
          <w:lang w:val="en-US"/>
        </w:rPr>
        <w:t xml:space="preserve"> Cambridge: Cambridge University Press.</w:t>
      </w:r>
    </w:p>
    <w:p w14:paraId="039EB57A" w14:textId="77777777" w:rsidR="009555FE" w:rsidRPr="00C379B3" w:rsidRDefault="009555FE" w:rsidP="009555FE">
      <w:pPr>
        <w:rPr>
          <w:rFonts w:asciiTheme="minorHAnsi" w:hAnsiTheme="minorHAnsi" w:cstheme="minorHAnsi"/>
          <w:sz w:val="22"/>
          <w:szCs w:val="22"/>
          <w:lang w:val="en-US"/>
        </w:rPr>
      </w:pPr>
    </w:p>
    <w:p w14:paraId="00DB9DB1" w14:textId="77777777" w:rsidR="009555FE" w:rsidRPr="00C379B3" w:rsidRDefault="009555FE">
      <w:pPr>
        <w:rPr>
          <w:rFonts w:asciiTheme="minorHAnsi" w:hAnsiTheme="minorHAnsi" w:cstheme="minorHAnsi"/>
          <w:sz w:val="22"/>
          <w:szCs w:val="22"/>
        </w:rPr>
      </w:pPr>
    </w:p>
    <w:sectPr w:rsidR="009555FE" w:rsidRPr="00C379B3" w:rsidSect="008957A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7695D" w14:textId="77777777" w:rsidR="007C1BA9" w:rsidRDefault="007C1BA9" w:rsidP="00125B08">
      <w:r>
        <w:separator/>
      </w:r>
    </w:p>
  </w:endnote>
  <w:endnote w:type="continuationSeparator" w:id="0">
    <w:p w14:paraId="00678FB3" w14:textId="77777777" w:rsidR="007C1BA9" w:rsidRDefault="007C1BA9" w:rsidP="0012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48D71" w14:textId="77777777" w:rsidR="007C1BA9" w:rsidRDefault="007C1BA9" w:rsidP="00125B08">
      <w:r>
        <w:separator/>
      </w:r>
    </w:p>
  </w:footnote>
  <w:footnote w:type="continuationSeparator" w:id="0">
    <w:p w14:paraId="092880E0" w14:textId="77777777" w:rsidR="007C1BA9" w:rsidRDefault="007C1BA9" w:rsidP="00125B08">
      <w:r>
        <w:continuationSeparator/>
      </w:r>
    </w:p>
  </w:footnote>
  <w:footnote w:id="1">
    <w:p w14:paraId="60ABFB72" w14:textId="77777777" w:rsidR="00125B08" w:rsidRPr="00B4683E" w:rsidRDefault="00125B08" w:rsidP="00125B08">
      <w:pPr>
        <w:rPr>
          <w:sz w:val="20"/>
          <w:szCs w:val="20"/>
        </w:rPr>
      </w:pPr>
      <w:r w:rsidRPr="00B4683E">
        <w:rPr>
          <w:rStyle w:val="FootnoteReference"/>
          <w:sz w:val="20"/>
          <w:szCs w:val="20"/>
        </w:rPr>
        <w:footnoteRef/>
      </w:r>
      <w:r w:rsidRPr="00B4683E">
        <w:rPr>
          <w:sz w:val="20"/>
          <w:szCs w:val="20"/>
        </w:rPr>
        <w:t xml:space="preserve"> Blair, 544.</w:t>
      </w:r>
    </w:p>
    <w:p w14:paraId="40DA3123" w14:textId="77777777" w:rsidR="00125B08" w:rsidRPr="00B4683E" w:rsidRDefault="00125B08" w:rsidP="00125B0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3293F"/>
    <w:multiLevelType w:val="multilevel"/>
    <w:tmpl w:val="3948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E2"/>
    <w:rsid w:val="00125B08"/>
    <w:rsid w:val="002B02E2"/>
    <w:rsid w:val="00635E36"/>
    <w:rsid w:val="007C1BA9"/>
    <w:rsid w:val="008957AE"/>
    <w:rsid w:val="008F2EA0"/>
    <w:rsid w:val="009555FE"/>
    <w:rsid w:val="00C379B3"/>
    <w:rsid w:val="00DA63D7"/>
    <w:rsid w:val="00F0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F05455"/>
  <w15:chartTrackingRefBased/>
  <w15:docId w15:val="{9485B5B5-A43F-7F4A-97CE-7E613278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2E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st-item">
    <w:name w:val="a-list-item"/>
    <w:basedOn w:val="DefaultParagraphFont"/>
    <w:rsid w:val="00635E36"/>
  </w:style>
  <w:style w:type="character" w:customStyle="1" w:styleId="a-text-bold">
    <w:name w:val="a-text-bold"/>
    <w:basedOn w:val="DefaultParagraphFont"/>
    <w:rsid w:val="00635E36"/>
  </w:style>
  <w:style w:type="character" w:customStyle="1" w:styleId="apple-converted-space">
    <w:name w:val="apple-converted-space"/>
    <w:basedOn w:val="DefaultParagraphFont"/>
    <w:rsid w:val="00635E36"/>
  </w:style>
  <w:style w:type="paragraph" w:styleId="FootnoteText">
    <w:name w:val="footnote text"/>
    <w:basedOn w:val="Normal"/>
    <w:link w:val="FootnoteTextChar"/>
    <w:rsid w:val="00125B08"/>
    <w:rPr>
      <w:rFonts w:eastAsia="MS Mincho"/>
      <w:sz w:val="20"/>
      <w:szCs w:val="20"/>
      <w:lang w:eastAsia="ja-JP"/>
    </w:rPr>
  </w:style>
  <w:style w:type="character" w:customStyle="1" w:styleId="FootnoteTextChar">
    <w:name w:val="Footnote Text Char"/>
    <w:basedOn w:val="DefaultParagraphFont"/>
    <w:link w:val="FootnoteText"/>
    <w:rsid w:val="00125B08"/>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125B08"/>
    <w:rPr>
      <w:vertAlign w:val="superscript"/>
    </w:rPr>
  </w:style>
  <w:style w:type="character" w:styleId="Hyperlink">
    <w:name w:val="Hyperlink"/>
    <w:basedOn w:val="DefaultParagraphFont"/>
    <w:uiPriority w:val="99"/>
    <w:unhideWhenUsed/>
    <w:rsid w:val="009555FE"/>
    <w:rPr>
      <w:color w:val="0563C1" w:themeColor="hyperlink"/>
      <w:u w:val="single"/>
    </w:rPr>
  </w:style>
  <w:style w:type="character" w:styleId="UnresolvedMention">
    <w:name w:val="Unresolved Mention"/>
    <w:basedOn w:val="DefaultParagraphFont"/>
    <w:uiPriority w:val="99"/>
    <w:semiHidden/>
    <w:unhideWhenUsed/>
    <w:rsid w:val="00955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9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c.org/content.asp?menuid=2&amp;submenuid%20=9&amp;id=102&amp;menuname=Climate%20Change%20Update%20-%20February%202011&amp;menu=%20subsub" TargetMode="External"/><Relationship Id="rId3" Type="http://schemas.openxmlformats.org/officeDocument/2006/relationships/settings" Target="settings.xml"/><Relationship Id="rId7" Type="http://schemas.openxmlformats.org/officeDocument/2006/relationships/hyperlink" Target="mailto:pgough@a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7</cp:revision>
  <dcterms:created xsi:type="dcterms:W3CDTF">2020-10-12T19:27:00Z</dcterms:created>
  <dcterms:modified xsi:type="dcterms:W3CDTF">2020-10-12T19:31:00Z</dcterms:modified>
</cp:coreProperties>
</file>