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4A39B" w14:textId="3E3F3DD6" w:rsidR="00491243" w:rsidRPr="00E44129" w:rsidRDefault="00491243" w:rsidP="00491243">
      <w:pPr>
        <w:rPr>
          <w:rFonts w:ascii="Arial" w:hAnsi="Arial" w:cs="Arial"/>
          <w:sz w:val="22"/>
          <w:szCs w:val="22"/>
        </w:rPr>
      </w:pPr>
      <w:r w:rsidRPr="00E44129">
        <w:rPr>
          <w:rFonts w:ascii="Arial" w:hAnsi="Arial" w:cs="Arial"/>
          <w:sz w:val="22"/>
          <w:szCs w:val="22"/>
        </w:rPr>
        <w:t>Gough_</w:t>
      </w:r>
      <w:r w:rsidRPr="00E44129">
        <w:rPr>
          <w:rFonts w:ascii="Arial" w:hAnsi="Arial" w:cs="Arial"/>
          <w:color w:val="0070C0"/>
          <w:sz w:val="22"/>
          <w:szCs w:val="22"/>
        </w:rPr>
        <w:t xml:space="preserve"> </w:t>
      </w:r>
      <w:r w:rsidRPr="00E44129">
        <w:rPr>
          <w:rFonts w:ascii="Arial" w:hAnsi="Arial" w:cs="Arial"/>
          <w:color w:val="0070C0"/>
          <w:sz w:val="22"/>
          <w:szCs w:val="22"/>
        </w:rPr>
        <w:t>Congested Terrain: Contested Memories</w:t>
      </w:r>
      <w:r w:rsidRPr="00E44129">
        <w:rPr>
          <w:rFonts w:ascii="Arial" w:hAnsi="Arial" w:cs="Arial"/>
          <w:color w:val="0070C0"/>
          <w:sz w:val="22"/>
          <w:szCs w:val="22"/>
        </w:rPr>
        <w:t xml:space="preserve"> 2017</w:t>
      </w:r>
    </w:p>
    <w:p w14:paraId="0B76EC31" w14:textId="77777777" w:rsidR="00491243" w:rsidRPr="00E44129" w:rsidRDefault="00491243" w:rsidP="00491243">
      <w:pPr>
        <w:rPr>
          <w:rFonts w:ascii="Arial" w:hAnsi="Arial" w:cs="Arial"/>
          <w:sz w:val="22"/>
          <w:szCs w:val="22"/>
        </w:rPr>
      </w:pPr>
    </w:p>
    <w:p w14:paraId="4A453245" w14:textId="472CE634" w:rsidR="00491243" w:rsidRPr="00E44129" w:rsidRDefault="00491243" w:rsidP="00491243">
      <w:pPr>
        <w:ind w:left="720"/>
        <w:rPr>
          <w:rFonts w:ascii="Arial" w:hAnsi="Arial" w:cs="Arial"/>
          <w:color w:val="0070C0"/>
          <w:sz w:val="22"/>
          <w:szCs w:val="22"/>
          <w:shd w:val="clear" w:color="auto" w:fill="FFFFFF"/>
        </w:rPr>
      </w:pPr>
      <w:r w:rsidRPr="00E44129">
        <w:rPr>
          <w:rFonts w:ascii="Arial" w:hAnsi="Arial" w:cs="Arial"/>
          <w:color w:val="0070C0"/>
          <w:sz w:val="22"/>
          <w:szCs w:val="22"/>
        </w:rPr>
        <w:t xml:space="preserve">Paul Gough, ‘Congested Terrain: Contested Memories. Visualising the Multiple Spaces of War and Remembrance’, in James Wallis and David Harvey, (eds.) </w:t>
      </w:r>
      <w:r w:rsidRPr="00E44129">
        <w:rPr>
          <w:rFonts w:ascii="Arial" w:hAnsi="Arial" w:cs="Arial"/>
          <w:i/>
          <w:iCs/>
          <w:color w:val="0070C0"/>
          <w:sz w:val="22"/>
          <w:szCs w:val="22"/>
          <w:shd w:val="clear" w:color="auto" w:fill="FFFFFF"/>
        </w:rPr>
        <w:t xml:space="preserve">Commemorative Spaces of the First World War: Historical Geographies at the </w:t>
      </w:r>
      <w:r w:rsidRPr="00E44129">
        <w:rPr>
          <w:rFonts w:ascii="Arial" w:hAnsi="Arial" w:cs="Arial"/>
          <w:i/>
          <w:color w:val="0070C0"/>
          <w:sz w:val="22"/>
          <w:szCs w:val="22"/>
        </w:rPr>
        <w:t xml:space="preserve">Centenary, </w:t>
      </w:r>
      <w:r w:rsidRPr="00E44129">
        <w:rPr>
          <w:rFonts w:ascii="Arial" w:hAnsi="Arial" w:cs="Arial"/>
          <w:color w:val="0070C0"/>
          <w:sz w:val="22"/>
          <w:szCs w:val="22"/>
        </w:rPr>
        <w:t xml:space="preserve">Ashgate, 2017, </w:t>
      </w:r>
      <w:r w:rsidRPr="00E44129">
        <w:rPr>
          <w:rFonts w:ascii="Arial" w:hAnsi="Arial" w:cs="Arial"/>
          <w:bCs/>
          <w:color w:val="0070C0"/>
          <w:sz w:val="22"/>
          <w:szCs w:val="22"/>
        </w:rPr>
        <w:t>ISBN:</w:t>
      </w:r>
      <w:r w:rsidRPr="00E44129">
        <w:rPr>
          <w:rFonts w:ascii="Arial" w:hAnsi="Arial" w:cs="Arial"/>
          <w:color w:val="0070C0"/>
          <w:sz w:val="22"/>
          <w:szCs w:val="22"/>
          <w:shd w:val="clear" w:color="auto" w:fill="FFFFFF"/>
        </w:rPr>
        <w:t> 9781138121188</w:t>
      </w:r>
    </w:p>
    <w:p w14:paraId="7EE74734" w14:textId="77777777" w:rsidR="005C0CFE" w:rsidRPr="00E44129" w:rsidRDefault="005C0CFE" w:rsidP="005C0CFE">
      <w:pPr>
        <w:spacing w:after="120"/>
        <w:rPr>
          <w:rFonts w:ascii="Arial" w:hAnsi="Arial" w:cs="Arial"/>
          <w:i/>
        </w:rPr>
      </w:pPr>
    </w:p>
    <w:p w14:paraId="09A395A6" w14:textId="77777777" w:rsidR="005C0CFE" w:rsidRPr="00E44129" w:rsidRDefault="005C0CFE" w:rsidP="005C0CFE">
      <w:pPr>
        <w:spacing w:after="120"/>
        <w:rPr>
          <w:rFonts w:ascii="Arial" w:hAnsi="Arial" w:cs="Arial"/>
        </w:rPr>
      </w:pPr>
      <w:r w:rsidRPr="00E44129">
        <w:rPr>
          <w:rFonts w:ascii="Arial" w:hAnsi="Arial" w:cs="Arial"/>
        </w:rPr>
        <w:t xml:space="preserve"> ‘Stasis’ is widely accepted as the pre-eminent condition of the conflict on the Western Front; a war of congealment, fixity and stagnant immobility fought from defensive earthworks that were intended to be temporary but quickly became permanent. </w:t>
      </w:r>
    </w:p>
    <w:p w14:paraId="63B0A93D" w14:textId="77777777" w:rsidR="005C0CFE" w:rsidRPr="00E44129" w:rsidRDefault="005C0CFE" w:rsidP="005C0CFE">
      <w:pPr>
        <w:spacing w:after="120"/>
        <w:rPr>
          <w:rFonts w:ascii="Arial" w:hAnsi="Arial" w:cs="Arial"/>
        </w:rPr>
      </w:pPr>
      <w:r w:rsidRPr="00E44129">
        <w:rPr>
          <w:rFonts w:ascii="Arial" w:hAnsi="Arial" w:cs="Arial"/>
        </w:rPr>
        <w:t>In the battle zones a new spatial order emerged. Beyond the superficial safety of the front-line parapet was No-Man’s-Land; a liminal, unknown space, a ‘debateable land’ that could not be fully owned or controlled. Far beyond lay a green and unspoilt distance, a ‘Promised Land' that was forever locked in an unattainable future. This was the domain of imperial development and potential exploitation.</w:t>
      </w:r>
    </w:p>
    <w:p w14:paraId="0B59823F" w14:textId="77777777" w:rsidR="005C0CFE" w:rsidRPr="00E44129" w:rsidRDefault="005C0CFE" w:rsidP="005C0CFE">
      <w:pPr>
        <w:spacing w:after="120"/>
        <w:rPr>
          <w:rFonts w:ascii="Arial" w:hAnsi="Arial" w:cs="Arial"/>
        </w:rPr>
      </w:pPr>
      <w:r w:rsidRPr="00E44129">
        <w:rPr>
          <w:rFonts w:ascii="Arial" w:hAnsi="Arial" w:cs="Arial"/>
        </w:rPr>
        <w:t xml:space="preserve">This chapter explores the spatiality of conflicts on the Great War battlefield, and draws on the work of several British artists, cartographers and surveyors who attempted to explore and lend visual form to the chaos. Through the act of mapping and drawing they attempted to systematize the outward devastation, whereby trees would become datum points, emptiness was labelled, and the few fixed features of the ravaged land became the immutable co-ordinates of a functional terrain, a strategic field, where maps where predicated as much on time as of place. </w:t>
      </w:r>
    </w:p>
    <w:p w14:paraId="50D322F1" w14:textId="3ACCC448" w:rsidR="000E6ABC" w:rsidRPr="00E44129" w:rsidRDefault="00E15024">
      <w:pPr>
        <w:rPr>
          <w:rFonts w:ascii="Arial" w:hAnsi="Arial" w:cs="Arial"/>
        </w:rPr>
      </w:pPr>
    </w:p>
    <w:p w14:paraId="23C11472" w14:textId="5F9DB32E" w:rsidR="005C0CFE" w:rsidRPr="005C0CFE" w:rsidRDefault="005C0CFE" w:rsidP="005C0CFE">
      <w:pPr>
        <w:spacing w:after="210"/>
        <w:rPr>
          <w:rFonts w:ascii="Arial" w:hAnsi="Arial" w:cs="Arial"/>
          <w:color w:val="4472C4" w:themeColor="accent1"/>
          <w:sz w:val="21"/>
          <w:szCs w:val="21"/>
        </w:rPr>
      </w:pPr>
      <w:r w:rsidRPr="00E44129">
        <w:rPr>
          <w:rFonts w:ascii="Arial" w:hAnsi="Arial" w:cs="Arial"/>
          <w:color w:val="4472C4" w:themeColor="accent1"/>
          <w:sz w:val="21"/>
          <w:szCs w:val="21"/>
        </w:rPr>
        <w:t>T</w:t>
      </w:r>
      <w:r w:rsidRPr="005C0CFE">
        <w:rPr>
          <w:rFonts w:ascii="Arial" w:hAnsi="Arial" w:cs="Arial"/>
          <w:color w:val="4472C4" w:themeColor="accent1"/>
          <w:sz w:val="21"/>
          <w:szCs w:val="21"/>
        </w:rPr>
        <w:t>his is the first book to bring together an interdisciplinary, theoretically engaged and global perspective on the First World War through the lens of historical and cultural geography. Reflecting the centennial interest in the conflict, the</w:t>
      </w:r>
      <w:r w:rsidRPr="005C0CFE">
        <w:rPr>
          <w:rFonts w:ascii="Arial" w:eastAsia="MS Gothic" w:hAnsi="Arial" w:cs="Arial"/>
          <w:color w:val="4472C4" w:themeColor="accent1"/>
          <w:sz w:val="21"/>
          <w:szCs w:val="21"/>
        </w:rPr>
        <w:t xml:space="preserve">　</w:t>
      </w:r>
      <w:r w:rsidRPr="005C0CFE">
        <w:rPr>
          <w:rFonts w:ascii="Arial" w:hAnsi="Arial" w:cs="Arial"/>
          <w:color w:val="4472C4" w:themeColor="accent1"/>
          <w:sz w:val="21"/>
          <w:szCs w:val="21"/>
        </w:rPr>
        <w:t>collection explores the relationships between warfare and space, and pays particular attention to how commemoration is connected to spatial elements of national identity, and processes of heritage and belonging. Venturing beyond military history and memory studies, contributors explore conceptual contributions of geography to analyse the First World War, as well as reflecting upon the imperative for an academic discussion on the War’s centenary. </w:t>
      </w:r>
    </w:p>
    <w:p w14:paraId="5C92CF27" w14:textId="7193BE03" w:rsidR="005C0CFE" w:rsidRPr="00E44129" w:rsidRDefault="005C0CFE" w:rsidP="005C0CFE">
      <w:pPr>
        <w:spacing w:after="210"/>
        <w:rPr>
          <w:rFonts w:ascii="Arial" w:hAnsi="Arial" w:cs="Arial"/>
          <w:color w:val="4472C4" w:themeColor="accent1"/>
          <w:sz w:val="21"/>
          <w:szCs w:val="21"/>
        </w:rPr>
      </w:pPr>
      <w:r w:rsidRPr="005C0CFE">
        <w:rPr>
          <w:rFonts w:ascii="Arial" w:hAnsi="Arial" w:cs="Arial"/>
          <w:color w:val="4472C4" w:themeColor="accent1"/>
          <w:sz w:val="21"/>
          <w:szCs w:val="21"/>
        </w:rPr>
        <w:t>This book explores the War’s impact in more unexpected theatres, blurring the boundary between home and fighting fronts, investigating the experiences of the war amongst civilians and often overlooked combatants. It also critically examines the politics of hindsight in the post-war period, and offers an historical geographical account of how the First World War has been memorialised within ‘official’ spaces, in addition to those overlooked and often undervalued ‘alternative spaces’ of commemoration.</w:t>
      </w:r>
    </w:p>
    <w:p w14:paraId="3C6397FE" w14:textId="53CAB3A7" w:rsidR="005C0CFE" w:rsidRPr="00E44129" w:rsidRDefault="005C0CFE">
      <w:pPr>
        <w:rPr>
          <w:rFonts w:ascii="Arial" w:hAnsi="Arial" w:cs="Arial"/>
          <w:color w:val="4472C4" w:themeColor="accent1"/>
        </w:rPr>
      </w:pPr>
    </w:p>
    <w:p w14:paraId="318B0E7E" w14:textId="77777777" w:rsidR="005C0CFE" w:rsidRPr="00E44129" w:rsidRDefault="005C0CFE" w:rsidP="005C0CFE">
      <w:pPr>
        <w:numPr>
          <w:ilvl w:val="0"/>
          <w:numId w:val="1"/>
        </w:numPr>
        <w:spacing w:after="83"/>
        <w:ind w:left="270"/>
        <w:rPr>
          <w:rFonts w:ascii="Arial" w:hAnsi="Arial" w:cs="Arial"/>
          <w:color w:val="111111"/>
          <w:sz w:val="21"/>
          <w:szCs w:val="21"/>
        </w:rPr>
      </w:pPr>
      <w:r w:rsidRPr="00E44129">
        <w:rPr>
          <w:rStyle w:val="a-text-bold"/>
          <w:rFonts w:ascii="Arial" w:hAnsi="Arial" w:cs="Arial"/>
          <w:color w:val="111111"/>
          <w:sz w:val="21"/>
          <w:szCs w:val="21"/>
        </w:rPr>
        <w:t>Print Length :</w:t>
      </w:r>
      <w:r w:rsidRPr="00E44129">
        <w:rPr>
          <w:rStyle w:val="apple-converted-space"/>
          <w:rFonts w:ascii="Arial" w:hAnsi="Arial" w:cs="Arial"/>
          <w:color w:val="111111"/>
          <w:sz w:val="21"/>
          <w:szCs w:val="21"/>
        </w:rPr>
        <w:t> </w:t>
      </w:r>
      <w:r w:rsidRPr="00E44129">
        <w:rPr>
          <w:rStyle w:val="a-list-item"/>
          <w:rFonts w:ascii="Arial" w:hAnsi="Arial" w:cs="Arial"/>
          <w:color w:val="111111"/>
          <w:sz w:val="21"/>
          <w:szCs w:val="21"/>
        </w:rPr>
        <w:t>264 pages</w:t>
      </w:r>
    </w:p>
    <w:p w14:paraId="3EB7C10E" w14:textId="77777777" w:rsidR="005C0CFE" w:rsidRPr="00E44129" w:rsidRDefault="005C0CFE" w:rsidP="005C0CFE">
      <w:pPr>
        <w:numPr>
          <w:ilvl w:val="0"/>
          <w:numId w:val="1"/>
        </w:numPr>
        <w:spacing w:after="83"/>
        <w:ind w:left="270"/>
        <w:rPr>
          <w:rFonts w:ascii="Arial" w:hAnsi="Arial" w:cs="Arial"/>
          <w:color w:val="111111"/>
          <w:sz w:val="21"/>
          <w:szCs w:val="21"/>
        </w:rPr>
      </w:pPr>
      <w:r w:rsidRPr="00E44129">
        <w:rPr>
          <w:rStyle w:val="a-text-bold"/>
          <w:rFonts w:ascii="Arial" w:hAnsi="Arial" w:cs="Arial"/>
          <w:color w:val="111111"/>
          <w:sz w:val="21"/>
          <w:szCs w:val="21"/>
        </w:rPr>
        <w:t>Publisher :</w:t>
      </w:r>
      <w:r w:rsidRPr="00E44129">
        <w:rPr>
          <w:rStyle w:val="apple-converted-space"/>
          <w:rFonts w:ascii="Arial" w:hAnsi="Arial" w:cs="Arial"/>
          <w:color w:val="111111"/>
          <w:sz w:val="21"/>
          <w:szCs w:val="21"/>
        </w:rPr>
        <w:t> </w:t>
      </w:r>
      <w:r w:rsidRPr="00E44129">
        <w:rPr>
          <w:rStyle w:val="a-list-item"/>
          <w:rFonts w:ascii="Arial" w:hAnsi="Arial" w:cs="Arial"/>
          <w:color w:val="111111"/>
          <w:sz w:val="21"/>
          <w:szCs w:val="21"/>
        </w:rPr>
        <w:t>Routledge (20 July 2017)</w:t>
      </w:r>
    </w:p>
    <w:p w14:paraId="2A76024A" w14:textId="77777777" w:rsidR="005C0CFE" w:rsidRPr="00E44129" w:rsidRDefault="005C0CFE" w:rsidP="005C0CFE">
      <w:pPr>
        <w:numPr>
          <w:ilvl w:val="0"/>
          <w:numId w:val="1"/>
        </w:numPr>
        <w:spacing w:after="83"/>
        <w:ind w:left="270"/>
        <w:rPr>
          <w:rFonts w:ascii="Arial" w:hAnsi="Arial" w:cs="Arial"/>
          <w:color w:val="111111"/>
          <w:sz w:val="21"/>
          <w:szCs w:val="21"/>
        </w:rPr>
      </w:pPr>
      <w:r w:rsidRPr="00E44129">
        <w:rPr>
          <w:rStyle w:val="a-text-bold"/>
          <w:rFonts w:ascii="Arial" w:hAnsi="Arial" w:cs="Arial"/>
          <w:color w:val="111111"/>
          <w:sz w:val="21"/>
          <w:szCs w:val="21"/>
        </w:rPr>
        <w:t>Enhanced Typesetting :</w:t>
      </w:r>
      <w:r w:rsidRPr="00E44129">
        <w:rPr>
          <w:rStyle w:val="apple-converted-space"/>
          <w:rFonts w:ascii="Arial" w:hAnsi="Arial" w:cs="Arial"/>
          <w:color w:val="111111"/>
          <w:sz w:val="21"/>
          <w:szCs w:val="21"/>
        </w:rPr>
        <w:t> </w:t>
      </w:r>
      <w:r w:rsidRPr="00E44129">
        <w:rPr>
          <w:rStyle w:val="a-list-item"/>
          <w:rFonts w:ascii="Arial" w:hAnsi="Arial" w:cs="Arial"/>
          <w:color w:val="111111"/>
          <w:sz w:val="21"/>
          <w:szCs w:val="21"/>
        </w:rPr>
        <w:t>Enabled</w:t>
      </w:r>
    </w:p>
    <w:p w14:paraId="0C42A04F" w14:textId="77777777" w:rsidR="005C0CFE" w:rsidRPr="00E44129" w:rsidRDefault="005C0CFE" w:rsidP="005C0CFE">
      <w:pPr>
        <w:numPr>
          <w:ilvl w:val="0"/>
          <w:numId w:val="1"/>
        </w:numPr>
        <w:spacing w:after="83"/>
        <w:ind w:left="270"/>
        <w:rPr>
          <w:rFonts w:ascii="Arial" w:hAnsi="Arial" w:cs="Arial"/>
          <w:color w:val="111111"/>
          <w:sz w:val="21"/>
          <w:szCs w:val="21"/>
        </w:rPr>
      </w:pPr>
      <w:r w:rsidRPr="00E44129">
        <w:rPr>
          <w:rStyle w:val="a-text-bold"/>
          <w:rFonts w:ascii="Arial" w:hAnsi="Arial" w:cs="Arial"/>
          <w:color w:val="111111"/>
          <w:sz w:val="21"/>
          <w:szCs w:val="21"/>
        </w:rPr>
        <w:t>Text-to-Speech :</w:t>
      </w:r>
      <w:r w:rsidRPr="00E44129">
        <w:rPr>
          <w:rStyle w:val="apple-converted-space"/>
          <w:rFonts w:ascii="Arial" w:hAnsi="Arial" w:cs="Arial"/>
          <w:color w:val="111111"/>
          <w:sz w:val="21"/>
          <w:szCs w:val="21"/>
        </w:rPr>
        <w:t> </w:t>
      </w:r>
      <w:r w:rsidRPr="00E44129">
        <w:rPr>
          <w:rStyle w:val="a-list-item"/>
          <w:rFonts w:ascii="Arial" w:hAnsi="Arial" w:cs="Arial"/>
          <w:color w:val="111111"/>
          <w:sz w:val="21"/>
          <w:szCs w:val="21"/>
        </w:rPr>
        <w:t>Enabled</w:t>
      </w:r>
    </w:p>
    <w:p w14:paraId="730CBEDA" w14:textId="77777777" w:rsidR="005C0CFE" w:rsidRPr="00E44129" w:rsidRDefault="005C0CFE" w:rsidP="005C0CFE">
      <w:pPr>
        <w:numPr>
          <w:ilvl w:val="0"/>
          <w:numId w:val="1"/>
        </w:numPr>
        <w:spacing w:after="83"/>
        <w:ind w:left="270"/>
        <w:rPr>
          <w:rFonts w:ascii="Arial" w:hAnsi="Arial" w:cs="Arial"/>
          <w:color w:val="111111"/>
          <w:sz w:val="21"/>
          <w:szCs w:val="21"/>
        </w:rPr>
      </w:pPr>
      <w:r w:rsidRPr="00E44129">
        <w:rPr>
          <w:rStyle w:val="a-text-bold"/>
          <w:rFonts w:ascii="Arial" w:hAnsi="Arial" w:cs="Arial"/>
          <w:color w:val="111111"/>
          <w:sz w:val="21"/>
          <w:szCs w:val="21"/>
        </w:rPr>
        <w:t>Page Numbers Source ISBN :</w:t>
      </w:r>
      <w:r w:rsidRPr="00E44129">
        <w:rPr>
          <w:rStyle w:val="apple-converted-space"/>
          <w:rFonts w:ascii="Arial" w:hAnsi="Arial" w:cs="Arial"/>
          <w:color w:val="111111"/>
          <w:sz w:val="21"/>
          <w:szCs w:val="21"/>
        </w:rPr>
        <w:t> </w:t>
      </w:r>
      <w:r w:rsidRPr="00E44129">
        <w:rPr>
          <w:rStyle w:val="a-list-item"/>
          <w:rFonts w:ascii="Arial" w:hAnsi="Arial" w:cs="Arial"/>
          <w:color w:val="111111"/>
          <w:sz w:val="21"/>
          <w:szCs w:val="21"/>
        </w:rPr>
        <w:t>1138121185</w:t>
      </w:r>
    </w:p>
    <w:p w14:paraId="4B02AE53" w14:textId="77777777" w:rsidR="005C0CFE" w:rsidRPr="00E44129" w:rsidRDefault="005C0CFE" w:rsidP="005C0CFE">
      <w:pPr>
        <w:numPr>
          <w:ilvl w:val="0"/>
          <w:numId w:val="1"/>
        </w:numPr>
        <w:spacing w:after="83"/>
        <w:ind w:left="270"/>
        <w:rPr>
          <w:rFonts w:ascii="Arial" w:hAnsi="Arial" w:cs="Arial"/>
          <w:color w:val="111111"/>
          <w:sz w:val="21"/>
          <w:szCs w:val="21"/>
        </w:rPr>
      </w:pPr>
      <w:r w:rsidRPr="00E44129">
        <w:rPr>
          <w:rStyle w:val="a-text-bold"/>
          <w:rFonts w:ascii="Arial" w:hAnsi="Arial" w:cs="Arial"/>
          <w:color w:val="111111"/>
          <w:sz w:val="21"/>
          <w:szCs w:val="21"/>
        </w:rPr>
        <w:t>Simultaneous Device Usage :</w:t>
      </w:r>
      <w:r w:rsidRPr="00E44129">
        <w:rPr>
          <w:rStyle w:val="apple-converted-space"/>
          <w:rFonts w:ascii="Arial" w:hAnsi="Arial" w:cs="Arial"/>
          <w:color w:val="111111"/>
          <w:sz w:val="21"/>
          <w:szCs w:val="21"/>
        </w:rPr>
        <w:t> </w:t>
      </w:r>
      <w:r w:rsidRPr="00E44129">
        <w:rPr>
          <w:rStyle w:val="a-list-item"/>
          <w:rFonts w:ascii="Arial" w:hAnsi="Arial" w:cs="Arial"/>
          <w:color w:val="111111"/>
          <w:sz w:val="21"/>
          <w:szCs w:val="21"/>
        </w:rPr>
        <w:t>Up to 4 simultaneous devices, per publisher limits</w:t>
      </w:r>
    </w:p>
    <w:p w14:paraId="3C385E10" w14:textId="77777777" w:rsidR="005C0CFE" w:rsidRPr="00E44129" w:rsidRDefault="005C0CFE" w:rsidP="005C0CFE">
      <w:pPr>
        <w:numPr>
          <w:ilvl w:val="0"/>
          <w:numId w:val="1"/>
        </w:numPr>
        <w:spacing w:after="83"/>
        <w:ind w:left="270"/>
        <w:rPr>
          <w:rFonts w:ascii="Arial" w:hAnsi="Arial" w:cs="Arial"/>
          <w:color w:val="111111"/>
          <w:sz w:val="21"/>
          <w:szCs w:val="21"/>
        </w:rPr>
      </w:pPr>
      <w:r w:rsidRPr="00E44129">
        <w:rPr>
          <w:rStyle w:val="a-text-bold"/>
          <w:rFonts w:ascii="Arial" w:hAnsi="Arial" w:cs="Arial"/>
          <w:color w:val="111111"/>
          <w:sz w:val="21"/>
          <w:szCs w:val="21"/>
        </w:rPr>
        <w:t>Language: :</w:t>
      </w:r>
      <w:r w:rsidRPr="00E44129">
        <w:rPr>
          <w:rStyle w:val="apple-converted-space"/>
          <w:rFonts w:ascii="Arial" w:hAnsi="Arial" w:cs="Arial"/>
          <w:color w:val="111111"/>
          <w:sz w:val="21"/>
          <w:szCs w:val="21"/>
        </w:rPr>
        <w:t> </w:t>
      </w:r>
      <w:r w:rsidRPr="00E44129">
        <w:rPr>
          <w:rStyle w:val="a-list-item"/>
          <w:rFonts w:ascii="Arial" w:hAnsi="Arial" w:cs="Arial"/>
          <w:color w:val="111111"/>
          <w:sz w:val="21"/>
          <w:szCs w:val="21"/>
        </w:rPr>
        <w:t>English</w:t>
      </w:r>
    </w:p>
    <w:p w14:paraId="225AF958" w14:textId="6D819789" w:rsidR="005C0CFE" w:rsidRDefault="005C0CFE">
      <w:pPr>
        <w:rPr>
          <w:rFonts w:ascii="Arial" w:hAnsi="Arial" w:cs="Arial"/>
        </w:rPr>
      </w:pPr>
    </w:p>
    <w:p w14:paraId="1F9F514B" w14:textId="3DFE71A7" w:rsidR="00E15024" w:rsidRDefault="00E15024">
      <w:pPr>
        <w:rPr>
          <w:rFonts w:ascii="Arial" w:hAnsi="Arial" w:cs="Arial"/>
        </w:rPr>
      </w:pPr>
    </w:p>
    <w:p w14:paraId="6CEEBF0B" w14:textId="77777777" w:rsidR="00E15024" w:rsidRPr="00EC660B" w:rsidRDefault="00E15024" w:rsidP="00E15024">
      <w:pPr>
        <w:spacing w:line="360" w:lineRule="auto"/>
        <w:rPr>
          <w:rFonts w:ascii="Arial" w:hAnsi="Arial" w:cs="Arial"/>
        </w:rPr>
      </w:pPr>
    </w:p>
    <w:p w14:paraId="1E23EE27" w14:textId="77777777" w:rsidR="00E15024" w:rsidRPr="00EC660B" w:rsidRDefault="00E15024" w:rsidP="00E15024">
      <w:pPr>
        <w:rPr>
          <w:rFonts w:ascii="Arial" w:hAnsi="Arial" w:cs="Arial"/>
        </w:rPr>
      </w:pPr>
    </w:p>
    <w:p w14:paraId="63740A09" w14:textId="77777777" w:rsidR="00E15024" w:rsidRPr="00EC660B" w:rsidRDefault="00E15024" w:rsidP="00E15024">
      <w:pPr>
        <w:rPr>
          <w:rFonts w:ascii="Arial" w:hAnsi="Arial" w:cs="Arial"/>
        </w:rPr>
      </w:pPr>
      <w:r w:rsidRPr="00EC660B">
        <w:rPr>
          <w:rFonts w:ascii="Arial" w:hAnsi="Arial" w:cs="Arial"/>
        </w:rPr>
        <w:t xml:space="preserve">References </w:t>
      </w:r>
    </w:p>
    <w:p w14:paraId="4309FC2E" w14:textId="77777777" w:rsidR="00E15024" w:rsidRPr="00EC660B" w:rsidRDefault="00E15024" w:rsidP="00E15024">
      <w:pPr>
        <w:rPr>
          <w:rFonts w:ascii="Arial" w:hAnsi="Arial" w:cs="Arial"/>
        </w:rPr>
      </w:pPr>
    </w:p>
    <w:p w14:paraId="711C429B" w14:textId="77777777" w:rsidR="00E15024" w:rsidRPr="00EC660B" w:rsidRDefault="00E15024" w:rsidP="00E15024">
      <w:pPr>
        <w:rPr>
          <w:rFonts w:ascii="Arial" w:hAnsi="Arial" w:cs="Arial"/>
        </w:rPr>
      </w:pPr>
      <w:r w:rsidRPr="00EC660B">
        <w:rPr>
          <w:rFonts w:ascii="Arial" w:hAnsi="Arial" w:cs="Arial"/>
        </w:rPr>
        <w:t xml:space="preserve">Abbot, C.C and Bertram, A. (1955) </w:t>
      </w:r>
      <w:r w:rsidRPr="00EC660B">
        <w:rPr>
          <w:rFonts w:ascii="Arial" w:hAnsi="Arial" w:cs="Arial"/>
          <w:i/>
        </w:rPr>
        <w:t>Poet and Painter: Being the Correspondence between Gordon Bottomley and Paul Nash,</w:t>
      </w:r>
      <w:r w:rsidRPr="00EC660B">
        <w:rPr>
          <w:rFonts w:ascii="Arial" w:hAnsi="Arial" w:cs="Arial"/>
        </w:rPr>
        <w:t xml:space="preserve"> </w:t>
      </w:r>
      <w:r w:rsidRPr="00EC660B">
        <w:rPr>
          <w:rFonts w:ascii="Arial" w:hAnsi="Arial" w:cs="Arial"/>
          <w:i/>
        </w:rPr>
        <w:t>1910-1946</w:t>
      </w:r>
      <w:r w:rsidRPr="00EC660B">
        <w:rPr>
          <w:rFonts w:ascii="Arial" w:hAnsi="Arial" w:cs="Arial"/>
        </w:rPr>
        <w:t>, Oxford: Oxford University Press.</w:t>
      </w:r>
    </w:p>
    <w:p w14:paraId="6434229A" w14:textId="77777777" w:rsidR="00E15024" w:rsidRPr="00EC660B" w:rsidRDefault="00E15024" w:rsidP="00E15024">
      <w:pPr>
        <w:rPr>
          <w:rFonts w:ascii="Arial" w:hAnsi="Arial" w:cs="Arial"/>
        </w:rPr>
      </w:pPr>
    </w:p>
    <w:p w14:paraId="3F20562C" w14:textId="77777777" w:rsidR="00E15024" w:rsidRPr="00EC660B" w:rsidRDefault="00E15024" w:rsidP="00E15024">
      <w:pPr>
        <w:rPr>
          <w:rFonts w:ascii="Arial" w:hAnsi="Arial" w:cs="Arial"/>
        </w:rPr>
      </w:pPr>
      <w:r w:rsidRPr="00EC660B">
        <w:rPr>
          <w:rFonts w:ascii="Arial" w:hAnsi="Arial" w:cs="Arial"/>
        </w:rPr>
        <w:t xml:space="preserve">Alfrey, N. and Daniels, S. (1990) S. </w:t>
      </w:r>
      <w:r w:rsidRPr="00EC660B">
        <w:rPr>
          <w:rFonts w:ascii="Arial" w:hAnsi="Arial" w:cs="Arial"/>
          <w:i/>
        </w:rPr>
        <w:t>Mapping the Landscape: Essays on Art and Cartography</w:t>
      </w:r>
      <w:r w:rsidRPr="00EC660B">
        <w:rPr>
          <w:rFonts w:ascii="Arial" w:hAnsi="Arial" w:cs="Arial"/>
        </w:rPr>
        <w:t xml:space="preserve">, Nottingham: Nottingham Castle Museum. </w:t>
      </w:r>
    </w:p>
    <w:p w14:paraId="5696A2DC" w14:textId="77777777" w:rsidR="00E15024" w:rsidRPr="00EC660B" w:rsidRDefault="00E15024" w:rsidP="00E15024">
      <w:pPr>
        <w:rPr>
          <w:rFonts w:ascii="Arial" w:hAnsi="Arial" w:cs="Arial"/>
        </w:rPr>
      </w:pPr>
    </w:p>
    <w:p w14:paraId="6BF2B9B2" w14:textId="77777777" w:rsidR="00E15024" w:rsidRPr="00EC660B" w:rsidRDefault="00E15024" w:rsidP="00E15024">
      <w:pPr>
        <w:rPr>
          <w:rFonts w:ascii="Arial" w:hAnsi="Arial" w:cs="Arial"/>
        </w:rPr>
      </w:pPr>
      <w:r w:rsidRPr="00EC660B">
        <w:rPr>
          <w:rFonts w:ascii="Arial" w:hAnsi="Arial" w:cs="Arial"/>
        </w:rPr>
        <w:t xml:space="preserve">Appleton, J. (1975) </w:t>
      </w:r>
      <w:r w:rsidRPr="00EC660B">
        <w:rPr>
          <w:rFonts w:ascii="Arial" w:hAnsi="Arial" w:cs="Arial"/>
          <w:i/>
        </w:rPr>
        <w:t>The Experience of Landscape</w:t>
      </w:r>
      <w:r w:rsidRPr="00EC660B">
        <w:rPr>
          <w:rFonts w:ascii="Arial" w:hAnsi="Arial" w:cs="Arial"/>
        </w:rPr>
        <w:t xml:space="preserve">, Wiley: London. </w:t>
      </w:r>
    </w:p>
    <w:p w14:paraId="59CAD175" w14:textId="77777777" w:rsidR="00E15024" w:rsidRPr="00EC660B" w:rsidRDefault="00E15024" w:rsidP="00E15024">
      <w:pPr>
        <w:rPr>
          <w:rFonts w:ascii="Arial" w:hAnsi="Arial" w:cs="Arial"/>
        </w:rPr>
      </w:pPr>
    </w:p>
    <w:p w14:paraId="54D24FA4" w14:textId="77777777" w:rsidR="00E15024" w:rsidRPr="00EC660B" w:rsidRDefault="00E15024" w:rsidP="00E15024">
      <w:pPr>
        <w:widowControl w:val="0"/>
        <w:autoSpaceDE w:val="0"/>
        <w:autoSpaceDN w:val="0"/>
        <w:adjustRightInd w:val="0"/>
        <w:rPr>
          <w:rFonts w:ascii="Arial" w:hAnsi="Arial" w:cs="Arial"/>
          <w:lang w:val="en-US"/>
        </w:rPr>
      </w:pPr>
      <w:r w:rsidRPr="00EC660B">
        <w:rPr>
          <w:rFonts w:ascii="Arial" w:hAnsi="Arial" w:cs="Arial"/>
        </w:rPr>
        <w:t xml:space="preserve">Bennett, A. (1918) </w:t>
      </w:r>
      <w:r w:rsidRPr="00EC660B">
        <w:rPr>
          <w:rFonts w:ascii="Arial" w:hAnsi="Arial" w:cs="Arial"/>
          <w:i/>
          <w:lang w:val="en-US"/>
        </w:rPr>
        <w:t>Void of War</w:t>
      </w:r>
      <w:r w:rsidRPr="00EC660B">
        <w:rPr>
          <w:rFonts w:ascii="Arial" w:hAnsi="Arial" w:cs="Arial"/>
          <w:lang w:val="en-US"/>
        </w:rPr>
        <w:t>, Leicester Galleries: London.</w:t>
      </w:r>
    </w:p>
    <w:p w14:paraId="23463420" w14:textId="77777777" w:rsidR="00E15024" w:rsidRPr="00EC660B" w:rsidRDefault="00E15024" w:rsidP="00E15024">
      <w:pPr>
        <w:rPr>
          <w:rFonts w:ascii="Arial" w:hAnsi="Arial" w:cs="Arial"/>
        </w:rPr>
      </w:pPr>
    </w:p>
    <w:p w14:paraId="574A7887" w14:textId="77777777" w:rsidR="00E15024" w:rsidRPr="00EC660B" w:rsidRDefault="00E15024" w:rsidP="00E15024">
      <w:pPr>
        <w:rPr>
          <w:rFonts w:ascii="Arial" w:hAnsi="Arial" w:cs="Arial"/>
        </w:rPr>
      </w:pPr>
      <w:r w:rsidRPr="00EC660B">
        <w:rPr>
          <w:rFonts w:ascii="Arial" w:hAnsi="Arial" w:cs="Arial"/>
        </w:rPr>
        <w:t xml:space="preserve">Bertram, A. (1955) </w:t>
      </w:r>
      <w:r w:rsidRPr="00EC660B">
        <w:rPr>
          <w:rFonts w:ascii="Arial" w:hAnsi="Arial" w:cs="Arial"/>
          <w:i/>
        </w:rPr>
        <w:t>Paul Nash, the Portrait of an Artist</w:t>
      </w:r>
      <w:r w:rsidRPr="00EC660B">
        <w:rPr>
          <w:rFonts w:ascii="Arial" w:hAnsi="Arial" w:cs="Arial"/>
        </w:rPr>
        <w:t>, London: Faber and Faber.</w:t>
      </w:r>
    </w:p>
    <w:p w14:paraId="5EFEC921" w14:textId="77777777" w:rsidR="00E15024" w:rsidRPr="00EC660B" w:rsidRDefault="00E15024" w:rsidP="00E15024">
      <w:pPr>
        <w:rPr>
          <w:rFonts w:ascii="Arial" w:hAnsi="Arial" w:cs="Arial"/>
        </w:rPr>
      </w:pPr>
    </w:p>
    <w:p w14:paraId="6F76DB04" w14:textId="77777777" w:rsidR="00E15024" w:rsidRPr="00EC660B" w:rsidRDefault="00E15024" w:rsidP="00E15024">
      <w:pPr>
        <w:jc w:val="both"/>
        <w:rPr>
          <w:rFonts w:ascii="Arial" w:hAnsi="Arial" w:cs="Arial"/>
        </w:rPr>
      </w:pPr>
      <w:r w:rsidRPr="00EC660B">
        <w:rPr>
          <w:rFonts w:ascii="Arial" w:hAnsi="Arial" w:cs="Arial"/>
        </w:rPr>
        <w:t xml:space="preserve">Bickel, L. (1980) </w:t>
      </w:r>
      <w:r w:rsidRPr="00EC660B">
        <w:rPr>
          <w:rFonts w:ascii="Arial" w:hAnsi="Arial" w:cs="Arial"/>
          <w:i/>
        </w:rPr>
        <w:t>In Search of Frank Hurley</w:t>
      </w:r>
      <w:r w:rsidRPr="00EC660B">
        <w:rPr>
          <w:rFonts w:ascii="Arial" w:hAnsi="Arial" w:cs="Arial"/>
        </w:rPr>
        <w:t>, Sydney, Australia: Macmillan.</w:t>
      </w:r>
    </w:p>
    <w:p w14:paraId="3DBD151A" w14:textId="77777777" w:rsidR="00E15024" w:rsidRPr="00EC660B" w:rsidRDefault="00E15024" w:rsidP="00E15024">
      <w:pPr>
        <w:rPr>
          <w:rFonts w:ascii="Arial" w:hAnsi="Arial" w:cs="Arial"/>
        </w:rPr>
      </w:pPr>
    </w:p>
    <w:p w14:paraId="19DF489C" w14:textId="77777777" w:rsidR="00E15024" w:rsidRPr="00EC660B" w:rsidRDefault="00E15024" w:rsidP="00E15024">
      <w:pPr>
        <w:rPr>
          <w:rFonts w:ascii="Arial" w:hAnsi="Arial" w:cs="Arial"/>
        </w:rPr>
      </w:pPr>
      <w:r w:rsidRPr="00EC660B">
        <w:rPr>
          <w:rFonts w:ascii="Arial" w:hAnsi="Arial" w:cs="Arial"/>
        </w:rPr>
        <w:t xml:space="preserve">Brown, M. (1978) </w:t>
      </w:r>
      <w:r w:rsidRPr="00EC660B">
        <w:rPr>
          <w:rFonts w:ascii="Arial" w:hAnsi="Arial" w:cs="Arial"/>
          <w:i/>
        </w:rPr>
        <w:t xml:space="preserve">Tommy Goes to War, </w:t>
      </w:r>
      <w:r w:rsidRPr="00EC660B">
        <w:rPr>
          <w:rFonts w:ascii="Arial" w:hAnsi="Arial" w:cs="Arial"/>
        </w:rPr>
        <w:t>London: J.M.Dent.</w:t>
      </w:r>
    </w:p>
    <w:p w14:paraId="25F14B0F" w14:textId="77777777" w:rsidR="00E15024" w:rsidRPr="00EC660B" w:rsidRDefault="00E15024" w:rsidP="00E15024">
      <w:pPr>
        <w:rPr>
          <w:rFonts w:ascii="Arial" w:hAnsi="Arial" w:cs="Arial"/>
        </w:rPr>
      </w:pPr>
    </w:p>
    <w:p w14:paraId="34D955BE" w14:textId="77777777" w:rsidR="00E15024" w:rsidRPr="00EC660B" w:rsidRDefault="00E15024" w:rsidP="00E15024">
      <w:pPr>
        <w:rPr>
          <w:rFonts w:ascii="Arial" w:hAnsi="Arial" w:cs="Arial"/>
        </w:rPr>
      </w:pPr>
      <w:r w:rsidRPr="00EC660B">
        <w:rPr>
          <w:rFonts w:ascii="Arial" w:hAnsi="Arial" w:cs="Arial"/>
        </w:rPr>
        <w:t xml:space="preserve">Carmichael, J. (1989) </w:t>
      </w:r>
      <w:r w:rsidRPr="00EC660B">
        <w:rPr>
          <w:rFonts w:ascii="Arial" w:hAnsi="Arial" w:cs="Arial"/>
          <w:i/>
        </w:rPr>
        <w:t>First World War Photographers</w:t>
      </w:r>
      <w:r w:rsidRPr="00EC660B">
        <w:rPr>
          <w:rFonts w:ascii="Arial" w:hAnsi="Arial" w:cs="Arial"/>
        </w:rPr>
        <w:t>, London: Routledge.</w:t>
      </w:r>
    </w:p>
    <w:p w14:paraId="10BB24F4" w14:textId="77777777" w:rsidR="00E15024" w:rsidRPr="00EC660B" w:rsidRDefault="00E15024" w:rsidP="00E15024">
      <w:pPr>
        <w:spacing w:before="100" w:beforeAutospacing="1" w:after="100" w:afterAutospacing="1"/>
        <w:outlineLvl w:val="1"/>
        <w:rPr>
          <w:rFonts w:ascii="Arial" w:hAnsi="Arial" w:cs="Arial"/>
        </w:rPr>
      </w:pPr>
      <w:r w:rsidRPr="00EC660B">
        <w:rPr>
          <w:rFonts w:ascii="Arial" w:hAnsi="Arial" w:cs="Arial"/>
        </w:rPr>
        <w:t xml:space="preserve">Cave, N. (1994) </w:t>
      </w:r>
      <w:r w:rsidRPr="00EC660B">
        <w:rPr>
          <w:rFonts w:ascii="Arial" w:hAnsi="Arial" w:cs="Arial"/>
          <w:i/>
        </w:rPr>
        <w:t>Beaumont Hamel</w:t>
      </w:r>
      <w:r w:rsidRPr="00EC660B">
        <w:rPr>
          <w:rFonts w:ascii="Arial" w:hAnsi="Arial" w:cs="Arial"/>
        </w:rPr>
        <w:t>, London: Pen and Sword books.</w:t>
      </w:r>
    </w:p>
    <w:p w14:paraId="768570B1" w14:textId="77777777" w:rsidR="00E15024" w:rsidRPr="00EC660B" w:rsidRDefault="00E15024" w:rsidP="00E15024">
      <w:pPr>
        <w:spacing w:before="100" w:beforeAutospacing="1" w:after="100" w:afterAutospacing="1"/>
        <w:outlineLvl w:val="1"/>
        <w:rPr>
          <w:rFonts w:ascii="Arial" w:hAnsi="Arial" w:cs="Arial"/>
        </w:rPr>
      </w:pPr>
      <w:r w:rsidRPr="00EC660B">
        <w:rPr>
          <w:rFonts w:ascii="Arial" w:hAnsi="Arial" w:cs="Arial"/>
        </w:rPr>
        <w:t>Chasseaud, P. (2013)</w:t>
      </w:r>
      <w:r w:rsidRPr="00EC660B">
        <w:rPr>
          <w:rFonts w:ascii="Arial" w:hAnsi="Arial" w:cs="Arial"/>
          <w:i/>
          <w:iCs/>
        </w:rPr>
        <w:t xml:space="preserve"> Mapping the First World War: The Great War Through Maps From 1914 to 1918, </w:t>
      </w:r>
      <w:r w:rsidRPr="00EC660B">
        <w:rPr>
          <w:rFonts w:ascii="Arial" w:hAnsi="Arial" w:cs="Arial"/>
          <w:iCs/>
        </w:rPr>
        <w:t>London: Collins.</w:t>
      </w:r>
    </w:p>
    <w:p w14:paraId="78411E26" w14:textId="77777777" w:rsidR="00E15024" w:rsidRPr="00EC660B" w:rsidRDefault="00E15024" w:rsidP="00E15024">
      <w:pPr>
        <w:spacing w:before="100" w:beforeAutospacing="1" w:after="100" w:afterAutospacing="1"/>
        <w:outlineLvl w:val="1"/>
        <w:rPr>
          <w:rFonts w:ascii="Arial" w:hAnsi="Arial" w:cs="Arial"/>
        </w:rPr>
      </w:pPr>
      <w:r w:rsidRPr="00EC660B">
        <w:rPr>
          <w:rFonts w:ascii="Arial" w:hAnsi="Arial" w:cs="Arial"/>
        </w:rPr>
        <w:t xml:space="preserve">Cloke P. and Jones O. (2004) ‘Turning in the graveyard: trees and the hybrid geographies of dwelling, monitoring and resistance in a Bristol cemetery’, </w:t>
      </w:r>
      <w:r w:rsidRPr="00EC660B">
        <w:rPr>
          <w:rFonts w:ascii="Arial" w:hAnsi="Arial" w:cs="Arial"/>
          <w:i/>
        </w:rPr>
        <w:t>Cultural Geographies</w:t>
      </w:r>
      <w:r w:rsidRPr="00EC660B">
        <w:rPr>
          <w:rFonts w:ascii="Arial" w:hAnsi="Arial" w:cs="Arial"/>
        </w:rPr>
        <w:t>, 11(3): 313-341.</w:t>
      </w:r>
    </w:p>
    <w:p w14:paraId="752E8EB7" w14:textId="77777777" w:rsidR="00E15024" w:rsidRPr="00EC660B" w:rsidRDefault="00E15024" w:rsidP="00E15024">
      <w:pPr>
        <w:rPr>
          <w:rFonts w:ascii="Arial" w:hAnsi="Arial" w:cs="Arial"/>
        </w:rPr>
      </w:pPr>
      <w:r w:rsidRPr="00EC660B">
        <w:rPr>
          <w:rFonts w:ascii="Arial" w:hAnsi="Arial" w:cs="Arial"/>
        </w:rPr>
        <w:t xml:space="preserve">Clout, H. (1996) </w:t>
      </w:r>
      <w:r w:rsidRPr="00EC660B">
        <w:rPr>
          <w:rFonts w:ascii="Arial" w:hAnsi="Arial" w:cs="Arial"/>
          <w:i/>
        </w:rPr>
        <w:t>‘After the Ruins’: Restoring the Countryside of Northern France after the Great War</w:t>
      </w:r>
      <w:r w:rsidRPr="00EC660B">
        <w:rPr>
          <w:rFonts w:ascii="Arial" w:hAnsi="Arial" w:cs="Arial"/>
        </w:rPr>
        <w:t>, Exeter UK: Exeter University Press.</w:t>
      </w:r>
    </w:p>
    <w:p w14:paraId="1625E683" w14:textId="77777777" w:rsidR="00E15024" w:rsidRPr="00EC660B" w:rsidRDefault="00E15024" w:rsidP="00E15024">
      <w:pPr>
        <w:rPr>
          <w:rFonts w:ascii="Arial" w:hAnsi="Arial" w:cs="Arial"/>
        </w:rPr>
      </w:pPr>
    </w:p>
    <w:p w14:paraId="4708F5F3" w14:textId="77777777" w:rsidR="00E15024" w:rsidRPr="00EC660B" w:rsidRDefault="00E15024" w:rsidP="00E15024">
      <w:pPr>
        <w:rPr>
          <w:rFonts w:ascii="Arial" w:hAnsi="Arial" w:cs="Arial"/>
        </w:rPr>
      </w:pPr>
      <w:r w:rsidRPr="00EC660B">
        <w:rPr>
          <w:rFonts w:ascii="Arial" w:hAnsi="Arial" w:cs="Arial"/>
        </w:rPr>
        <w:t xml:space="preserve">Cork, R. (1994) </w:t>
      </w:r>
      <w:r w:rsidRPr="00EC660B">
        <w:rPr>
          <w:rFonts w:ascii="Arial" w:hAnsi="Arial" w:cs="Arial"/>
          <w:i/>
        </w:rPr>
        <w:t>A Bitter Truth: Avant-Garde Art and the Great War</w:t>
      </w:r>
      <w:r w:rsidRPr="00EC660B">
        <w:rPr>
          <w:rFonts w:ascii="Arial" w:hAnsi="Arial" w:cs="Arial"/>
        </w:rPr>
        <w:t>, New Haven: Yale University Press.</w:t>
      </w:r>
    </w:p>
    <w:p w14:paraId="3DD03442" w14:textId="77777777" w:rsidR="00E15024" w:rsidRPr="00EC660B" w:rsidRDefault="00E15024" w:rsidP="00E15024">
      <w:pPr>
        <w:rPr>
          <w:rFonts w:ascii="Arial" w:hAnsi="Arial" w:cs="Arial"/>
        </w:rPr>
      </w:pPr>
    </w:p>
    <w:p w14:paraId="77719EAA" w14:textId="77777777" w:rsidR="00E15024" w:rsidRPr="00EC660B" w:rsidRDefault="00E15024" w:rsidP="00E15024">
      <w:pPr>
        <w:rPr>
          <w:rFonts w:ascii="Arial" w:hAnsi="Arial" w:cs="Arial"/>
        </w:rPr>
      </w:pPr>
      <w:r w:rsidRPr="00EC660B">
        <w:rPr>
          <w:rFonts w:ascii="Arial" w:hAnsi="Arial" w:cs="Arial"/>
        </w:rPr>
        <w:t xml:space="preserve">Diller, E. and Scofidio, R. (1994) </w:t>
      </w:r>
      <w:r w:rsidRPr="00EC660B">
        <w:rPr>
          <w:rFonts w:ascii="Arial" w:hAnsi="Arial" w:cs="Arial"/>
          <w:i/>
        </w:rPr>
        <w:t>Tourism of War</w:t>
      </w:r>
      <w:r w:rsidRPr="00EC660B">
        <w:rPr>
          <w:rFonts w:ascii="Arial" w:hAnsi="Arial" w:cs="Arial"/>
        </w:rPr>
        <w:t xml:space="preserve">, FRAC Basse Normandie / University of Princeton Press. </w:t>
      </w:r>
    </w:p>
    <w:p w14:paraId="5CE0E607" w14:textId="77777777" w:rsidR="00E15024" w:rsidRPr="00EC660B" w:rsidRDefault="00E15024" w:rsidP="00E15024">
      <w:pPr>
        <w:rPr>
          <w:rFonts w:ascii="Arial" w:hAnsi="Arial" w:cs="Arial"/>
        </w:rPr>
      </w:pPr>
    </w:p>
    <w:p w14:paraId="3AE58790" w14:textId="77777777" w:rsidR="00E15024" w:rsidRPr="00EC660B" w:rsidRDefault="00E15024" w:rsidP="00E15024">
      <w:pPr>
        <w:rPr>
          <w:rFonts w:ascii="Arial" w:hAnsi="Arial" w:cs="Arial"/>
        </w:rPr>
      </w:pPr>
      <w:r w:rsidRPr="00EC660B">
        <w:rPr>
          <w:rFonts w:ascii="Arial" w:hAnsi="Arial" w:cs="Arial"/>
        </w:rPr>
        <w:t xml:space="preserve">Eates, M. (1973) </w:t>
      </w:r>
      <w:r w:rsidRPr="00EC660B">
        <w:rPr>
          <w:rFonts w:ascii="Arial" w:hAnsi="Arial" w:cs="Arial"/>
          <w:i/>
        </w:rPr>
        <w:t xml:space="preserve">The Master of the Image 1889-1946, </w:t>
      </w:r>
      <w:r w:rsidRPr="00EC660B">
        <w:rPr>
          <w:rFonts w:ascii="Arial" w:hAnsi="Arial" w:cs="Arial"/>
        </w:rPr>
        <w:t>London:</w:t>
      </w:r>
      <w:r w:rsidRPr="00EC660B">
        <w:rPr>
          <w:rFonts w:ascii="Arial" w:hAnsi="Arial" w:cs="Arial"/>
          <w:i/>
        </w:rPr>
        <w:t xml:space="preserve"> </w:t>
      </w:r>
      <w:r w:rsidRPr="00EC660B">
        <w:rPr>
          <w:rFonts w:ascii="Arial" w:hAnsi="Arial" w:cs="Arial"/>
        </w:rPr>
        <w:t>John Murray.</w:t>
      </w:r>
    </w:p>
    <w:p w14:paraId="128E842B" w14:textId="77777777" w:rsidR="00E15024" w:rsidRPr="00EC660B" w:rsidRDefault="00E15024" w:rsidP="00E15024">
      <w:pPr>
        <w:pStyle w:val="BodyText"/>
        <w:rPr>
          <w:rFonts w:ascii="Arial" w:hAnsi="Arial" w:cs="Arial"/>
        </w:rPr>
      </w:pPr>
    </w:p>
    <w:p w14:paraId="00712BD5" w14:textId="77777777" w:rsidR="00E15024" w:rsidRPr="00EC660B" w:rsidRDefault="00E15024" w:rsidP="00E15024">
      <w:pPr>
        <w:pStyle w:val="BodyText"/>
        <w:rPr>
          <w:rFonts w:ascii="Arial" w:hAnsi="Arial" w:cs="Arial"/>
        </w:rPr>
      </w:pPr>
      <w:r w:rsidRPr="00EC660B">
        <w:rPr>
          <w:rFonts w:ascii="Arial" w:hAnsi="Arial" w:cs="Arial"/>
        </w:rPr>
        <w:t xml:space="preserve">Farrer, R. (1918) </w:t>
      </w:r>
      <w:r w:rsidRPr="00EC660B">
        <w:rPr>
          <w:rFonts w:ascii="Arial" w:hAnsi="Arial" w:cs="Arial"/>
          <w:i/>
        </w:rPr>
        <w:t>The Void of War</w:t>
      </w:r>
      <w:r w:rsidRPr="00EC660B">
        <w:rPr>
          <w:rFonts w:ascii="Arial" w:hAnsi="Arial" w:cs="Arial"/>
        </w:rPr>
        <w:t xml:space="preserve">: </w:t>
      </w:r>
      <w:r w:rsidRPr="00EC660B">
        <w:rPr>
          <w:rFonts w:ascii="Arial" w:hAnsi="Arial" w:cs="Arial"/>
          <w:i/>
        </w:rPr>
        <w:t xml:space="preserve">Letters from Three Fronts, </w:t>
      </w:r>
      <w:r w:rsidRPr="00EC660B">
        <w:rPr>
          <w:rFonts w:ascii="Arial" w:hAnsi="Arial" w:cs="Arial"/>
        </w:rPr>
        <w:t>London: Constable.</w:t>
      </w:r>
    </w:p>
    <w:p w14:paraId="10AB456D" w14:textId="77777777" w:rsidR="00E15024" w:rsidRPr="00EC660B" w:rsidRDefault="00E15024" w:rsidP="00E15024">
      <w:pPr>
        <w:rPr>
          <w:rFonts w:ascii="Arial" w:hAnsi="Arial" w:cs="Arial"/>
        </w:rPr>
      </w:pPr>
      <w:r w:rsidRPr="00EC660B">
        <w:rPr>
          <w:rFonts w:ascii="Arial" w:hAnsi="Arial" w:cs="Arial"/>
        </w:rPr>
        <w:t xml:space="preserve">Foucault, M. (1975) </w:t>
      </w:r>
      <w:r w:rsidRPr="00EC660B">
        <w:rPr>
          <w:rFonts w:ascii="Arial" w:hAnsi="Arial" w:cs="Arial"/>
          <w:i/>
        </w:rPr>
        <w:t xml:space="preserve">Discipline and Punish: </w:t>
      </w:r>
      <w:proofErr w:type="gramStart"/>
      <w:r w:rsidRPr="00EC660B">
        <w:rPr>
          <w:rFonts w:ascii="Arial" w:hAnsi="Arial" w:cs="Arial"/>
          <w:i/>
        </w:rPr>
        <w:t>the</w:t>
      </w:r>
      <w:proofErr w:type="gramEnd"/>
      <w:r w:rsidRPr="00EC660B">
        <w:rPr>
          <w:rFonts w:ascii="Arial" w:hAnsi="Arial" w:cs="Arial"/>
          <w:i/>
        </w:rPr>
        <w:t xml:space="preserve"> Birth of the Prison</w:t>
      </w:r>
      <w:r w:rsidRPr="00EC660B">
        <w:rPr>
          <w:rFonts w:ascii="Arial" w:hAnsi="Arial" w:cs="Arial"/>
        </w:rPr>
        <w:t xml:space="preserve">, Paris, Editions Gallimard, English translation (1977), London, Allen Lane. </w:t>
      </w:r>
    </w:p>
    <w:p w14:paraId="15931F2C" w14:textId="77777777" w:rsidR="00E15024" w:rsidRPr="00EC660B" w:rsidRDefault="00E15024" w:rsidP="00E15024">
      <w:pPr>
        <w:rPr>
          <w:rFonts w:ascii="Arial" w:hAnsi="Arial" w:cs="Arial"/>
        </w:rPr>
      </w:pPr>
    </w:p>
    <w:p w14:paraId="481F9F48" w14:textId="77777777" w:rsidR="00E15024" w:rsidRPr="00EC660B" w:rsidRDefault="00E15024" w:rsidP="00E15024">
      <w:pPr>
        <w:rPr>
          <w:rFonts w:ascii="Arial" w:hAnsi="Arial" w:cs="Arial"/>
        </w:rPr>
      </w:pPr>
      <w:r w:rsidRPr="00EC660B">
        <w:rPr>
          <w:rFonts w:ascii="Arial" w:hAnsi="Arial" w:cs="Arial"/>
        </w:rPr>
        <w:t xml:space="preserve">Gough, P. (1995) 'Tales from the Bushy-topped Tree: a brief survey of military sketching', </w:t>
      </w:r>
      <w:r w:rsidRPr="00EC660B">
        <w:rPr>
          <w:rFonts w:ascii="Arial" w:hAnsi="Arial" w:cs="Arial"/>
          <w:i/>
        </w:rPr>
        <w:t>Imperial War Museum Review,</w:t>
      </w:r>
      <w:r w:rsidRPr="00EC660B">
        <w:rPr>
          <w:rFonts w:ascii="Arial" w:hAnsi="Arial" w:cs="Arial"/>
        </w:rPr>
        <w:t xml:space="preserve"> 10: 62 - 74. </w:t>
      </w:r>
    </w:p>
    <w:p w14:paraId="002E6982" w14:textId="77777777" w:rsidR="00E15024" w:rsidRPr="00EC660B" w:rsidRDefault="00E15024" w:rsidP="00E15024">
      <w:pPr>
        <w:rPr>
          <w:rFonts w:ascii="Arial" w:hAnsi="Arial" w:cs="Arial"/>
        </w:rPr>
      </w:pPr>
    </w:p>
    <w:p w14:paraId="0F926204" w14:textId="77777777" w:rsidR="00E15024" w:rsidRPr="00EC660B" w:rsidRDefault="00E15024" w:rsidP="00E15024">
      <w:pPr>
        <w:rPr>
          <w:rFonts w:ascii="Arial" w:hAnsi="Arial" w:cs="Arial"/>
        </w:rPr>
      </w:pPr>
      <w:r w:rsidRPr="00EC660B">
        <w:rPr>
          <w:rFonts w:ascii="Arial" w:hAnsi="Arial" w:cs="Arial"/>
        </w:rPr>
        <w:t xml:space="preserve">Gough, P. (2004) ‘Sites in the imagination: the Beaumont Hamel Newfoundland Memorial on the Somme’, </w:t>
      </w:r>
      <w:r w:rsidRPr="00EC660B">
        <w:rPr>
          <w:rFonts w:ascii="Arial" w:hAnsi="Arial" w:cs="Arial"/>
          <w:i/>
        </w:rPr>
        <w:t>Cultural Geographies</w:t>
      </w:r>
      <w:r w:rsidRPr="00EC660B">
        <w:rPr>
          <w:rFonts w:ascii="Arial" w:hAnsi="Arial" w:cs="Arial"/>
        </w:rPr>
        <w:t>, 11 (3): 235-258.</w:t>
      </w:r>
    </w:p>
    <w:p w14:paraId="7DC6F95C" w14:textId="77777777" w:rsidR="00E15024" w:rsidRPr="00EC660B" w:rsidRDefault="00E15024" w:rsidP="00E15024">
      <w:pPr>
        <w:rPr>
          <w:rFonts w:ascii="Arial" w:hAnsi="Arial" w:cs="Arial"/>
        </w:rPr>
      </w:pPr>
    </w:p>
    <w:p w14:paraId="555938AF" w14:textId="77777777" w:rsidR="00E15024" w:rsidRPr="00EC660B" w:rsidRDefault="00E15024" w:rsidP="00E15024">
      <w:pPr>
        <w:jc w:val="both"/>
        <w:rPr>
          <w:rFonts w:ascii="Arial" w:hAnsi="Arial" w:cs="Arial"/>
        </w:rPr>
      </w:pPr>
      <w:r w:rsidRPr="00EC660B">
        <w:rPr>
          <w:rFonts w:ascii="Arial" w:hAnsi="Arial" w:cs="Arial"/>
        </w:rPr>
        <w:t xml:space="preserve">Gough, P. (2009), ‘Calculating the future’ in Saunders, N. and Cornish, P. (2009) </w:t>
      </w:r>
      <w:r w:rsidRPr="00EC660B">
        <w:rPr>
          <w:rFonts w:ascii="Arial" w:hAnsi="Arial" w:cs="Arial"/>
          <w:i/>
        </w:rPr>
        <w:t xml:space="preserve">Contested Objects: Material Memories of the Great War, </w:t>
      </w:r>
      <w:r w:rsidRPr="00EC660B">
        <w:rPr>
          <w:rFonts w:ascii="Arial" w:hAnsi="Arial" w:cs="Arial"/>
        </w:rPr>
        <w:t>Routledge: London, 237-251.</w:t>
      </w:r>
    </w:p>
    <w:p w14:paraId="5AE08423" w14:textId="77777777" w:rsidR="00E15024" w:rsidRPr="00EC660B" w:rsidRDefault="00E15024" w:rsidP="00E15024">
      <w:pPr>
        <w:rPr>
          <w:rFonts w:ascii="Arial" w:hAnsi="Arial" w:cs="Arial"/>
        </w:rPr>
      </w:pPr>
    </w:p>
    <w:p w14:paraId="723A2880" w14:textId="77777777" w:rsidR="00E15024" w:rsidRPr="00EC660B" w:rsidRDefault="00E15024" w:rsidP="00E15024">
      <w:pPr>
        <w:rPr>
          <w:rFonts w:ascii="Arial" w:hAnsi="Arial" w:cs="Arial"/>
        </w:rPr>
      </w:pPr>
      <w:r w:rsidRPr="00EC660B">
        <w:rPr>
          <w:rFonts w:ascii="Arial" w:hAnsi="Arial" w:cs="Arial"/>
        </w:rPr>
        <w:t xml:space="preserve">Gough, P. (2010) </w:t>
      </w:r>
      <w:r w:rsidRPr="00EC660B">
        <w:rPr>
          <w:rFonts w:ascii="Arial" w:hAnsi="Arial" w:cs="Arial"/>
          <w:i/>
        </w:rPr>
        <w:t>‘A Terrible Beauty’: British Artists and the First World War</w:t>
      </w:r>
      <w:r w:rsidRPr="00EC660B">
        <w:rPr>
          <w:rFonts w:ascii="Arial" w:hAnsi="Arial" w:cs="Arial"/>
        </w:rPr>
        <w:t>, Bristol UK: Sansom and Company.</w:t>
      </w:r>
    </w:p>
    <w:p w14:paraId="3C30A505" w14:textId="77777777" w:rsidR="00E15024" w:rsidRPr="00EC660B" w:rsidRDefault="00E15024" w:rsidP="00E15024">
      <w:pPr>
        <w:rPr>
          <w:rFonts w:ascii="Arial" w:hAnsi="Arial" w:cs="Arial"/>
        </w:rPr>
      </w:pPr>
    </w:p>
    <w:p w14:paraId="313787A9" w14:textId="77777777" w:rsidR="00E15024" w:rsidRPr="00EC660B" w:rsidRDefault="00E15024" w:rsidP="00E15024">
      <w:pPr>
        <w:rPr>
          <w:rFonts w:ascii="Arial" w:hAnsi="Arial" w:cs="Arial"/>
        </w:rPr>
      </w:pPr>
      <w:r w:rsidRPr="00EC660B">
        <w:rPr>
          <w:rFonts w:ascii="Arial" w:hAnsi="Arial" w:cs="Arial"/>
        </w:rPr>
        <w:t xml:space="preserve">Greenacre, F. (1988) </w:t>
      </w:r>
      <w:r w:rsidRPr="00EC660B">
        <w:rPr>
          <w:rFonts w:ascii="Arial" w:hAnsi="Arial" w:cs="Arial"/>
          <w:i/>
        </w:rPr>
        <w:t>Francis Danby: 1793-1861</w:t>
      </w:r>
      <w:r w:rsidRPr="00EC660B">
        <w:rPr>
          <w:rFonts w:ascii="Arial" w:hAnsi="Arial" w:cs="Arial"/>
        </w:rPr>
        <w:t>, London: Tate Gallery.</w:t>
      </w:r>
    </w:p>
    <w:p w14:paraId="3A5C25E0" w14:textId="77777777" w:rsidR="00E15024" w:rsidRPr="00EC660B" w:rsidRDefault="00E15024" w:rsidP="00E15024">
      <w:pPr>
        <w:rPr>
          <w:rFonts w:ascii="Arial" w:hAnsi="Arial" w:cs="Arial"/>
        </w:rPr>
      </w:pPr>
    </w:p>
    <w:p w14:paraId="7C25E726" w14:textId="77777777" w:rsidR="00E15024" w:rsidRPr="00EC660B" w:rsidRDefault="00E15024" w:rsidP="00E15024">
      <w:pPr>
        <w:rPr>
          <w:rFonts w:ascii="Times" w:hAnsi="Times"/>
        </w:rPr>
      </w:pPr>
      <w:r w:rsidRPr="00EC660B">
        <w:rPr>
          <w:rFonts w:ascii="Arial" w:hAnsi="Arial" w:cs="Arial"/>
        </w:rPr>
        <w:t xml:space="preserve">Gregory, D. (2015), </w:t>
      </w:r>
      <w:r w:rsidRPr="00EC660B">
        <w:rPr>
          <w:rFonts w:ascii="Arial" w:hAnsi="Arial" w:cs="Arial"/>
          <w:shd w:val="clear" w:color="auto" w:fill="FFFFFF"/>
        </w:rPr>
        <w:t xml:space="preserve">‘Gabriel’s Map: Cartography and Corpography in Modern War’, in Meusburger P. and Gregory, D. (2015) </w:t>
      </w:r>
      <w:r w:rsidRPr="00EC660B">
        <w:rPr>
          <w:rFonts w:ascii="Arial" w:hAnsi="Arial" w:cs="Arial"/>
          <w:i/>
          <w:shd w:val="clear" w:color="auto" w:fill="FFFFFF"/>
        </w:rPr>
        <w:t>Geographies of Knowledge and Power</w:t>
      </w:r>
      <w:r w:rsidRPr="00EC660B">
        <w:rPr>
          <w:rFonts w:ascii="Arial" w:hAnsi="Arial" w:cs="Arial"/>
          <w:shd w:val="clear" w:color="auto" w:fill="FFFFFF"/>
        </w:rPr>
        <w:t>, Springer: New York.</w:t>
      </w:r>
    </w:p>
    <w:p w14:paraId="5521A8C5" w14:textId="77777777" w:rsidR="00E15024" w:rsidRPr="00EC660B" w:rsidRDefault="00E15024" w:rsidP="00E15024">
      <w:pPr>
        <w:rPr>
          <w:rFonts w:ascii="Arial" w:hAnsi="Arial" w:cs="Arial"/>
        </w:rPr>
      </w:pPr>
    </w:p>
    <w:p w14:paraId="07547319" w14:textId="77777777" w:rsidR="00E15024" w:rsidRPr="00EC660B" w:rsidRDefault="00E15024" w:rsidP="00E15024">
      <w:pPr>
        <w:rPr>
          <w:rFonts w:ascii="Arial" w:hAnsi="Arial" w:cs="Arial"/>
        </w:rPr>
      </w:pPr>
      <w:r w:rsidRPr="00EC660B">
        <w:rPr>
          <w:rFonts w:ascii="Arial" w:hAnsi="Arial" w:cs="Arial"/>
        </w:rPr>
        <w:t xml:space="preserve">Hague, R. (ed.) 1980, </w:t>
      </w:r>
      <w:r w:rsidRPr="00EC660B">
        <w:rPr>
          <w:rFonts w:ascii="Arial" w:hAnsi="Arial" w:cs="Arial"/>
          <w:i/>
        </w:rPr>
        <w:t>Dai Greatcoat</w:t>
      </w:r>
      <w:r w:rsidRPr="00EC660B">
        <w:rPr>
          <w:rFonts w:ascii="Arial" w:hAnsi="Arial" w:cs="Arial"/>
        </w:rPr>
        <w:t>, London: Faber.</w:t>
      </w:r>
    </w:p>
    <w:p w14:paraId="4DD03E47" w14:textId="77777777" w:rsidR="00E15024" w:rsidRPr="00EC660B" w:rsidRDefault="00E15024" w:rsidP="00E15024">
      <w:pPr>
        <w:rPr>
          <w:rFonts w:ascii="Arial" w:hAnsi="Arial" w:cs="Arial"/>
        </w:rPr>
      </w:pPr>
    </w:p>
    <w:p w14:paraId="48F20C79" w14:textId="77777777" w:rsidR="00E15024" w:rsidRPr="00EC660B" w:rsidRDefault="00E15024" w:rsidP="00E15024">
      <w:pPr>
        <w:rPr>
          <w:rFonts w:ascii="Arial" w:hAnsi="Arial" w:cs="Arial"/>
        </w:rPr>
      </w:pPr>
      <w:r w:rsidRPr="00EC660B">
        <w:rPr>
          <w:rFonts w:ascii="Arial" w:hAnsi="Arial" w:cs="Arial"/>
        </w:rPr>
        <w:t xml:space="preserve">Hardie, M. (1966) </w:t>
      </w:r>
      <w:r w:rsidRPr="00EC660B">
        <w:rPr>
          <w:rFonts w:ascii="Arial" w:hAnsi="Arial" w:cs="Arial"/>
          <w:i/>
        </w:rPr>
        <w:t>Watercolour Painting in Britain</w:t>
      </w:r>
      <w:r w:rsidRPr="00EC660B">
        <w:rPr>
          <w:rFonts w:ascii="Arial" w:hAnsi="Arial" w:cs="Arial"/>
        </w:rPr>
        <w:t xml:space="preserve">, Volume 1, </w:t>
      </w:r>
      <w:r w:rsidRPr="00EC660B">
        <w:rPr>
          <w:rFonts w:ascii="Arial" w:hAnsi="Arial" w:cs="Arial"/>
          <w:i/>
        </w:rPr>
        <w:t>The Eighteenth Century.</w:t>
      </w:r>
      <w:r w:rsidRPr="00EC660B">
        <w:rPr>
          <w:rFonts w:ascii="Arial" w:hAnsi="Arial" w:cs="Arial"/>
        </w:rPr>
        <w:t xml:space="preserve"> London: Batsford.</w:t>
      </w:r>
    </w:p>
    <w:p w14:paraId="08D56044" w14:textId="77777777" w:rsidR="00E15024" w:rsidRPr="00EC660B" w:rsidRDefault="00E15024" w:rsidP="00E15024">
      <w:pPr>
        <w:rPr>
          <w:rFonts w:ascii="Arial" w:hAnsi="Arial" w:cs="Arial"/>
        </w:rPr>
      </w:pPr>
    </w:p>
    <w:p w14:paraId="7CDAD02A" w14:textId="77777777" w:rsidR="00E15024" w:rsidRPr="00EC660B" w:rsidRDefault="00E15024" w:rsidP="00E15024">
      <w:pPr>
        <w:rPr>
          <w:rFonts w:ascii="Times" w:hAnsi="Times"/>
          <w:sz w:val="20"/>
          <w:szCs w:val="20"/>
        </w:rPr>
      </w:pPr>
      <w:r w:rsidRPr="00EC660B">
        <w:rPr>
          <w:rFonts w:ascii="Arial" w:hAnsi="Arial" w:cs="Arial"/>
        </w:rPr>
        <w:t xml:space="preserve">Heffernan, M. (1995) ‘For ever England: </w:t>
      </w:r>
      <w:proofErr w:type="gramStart"/>
      <w:r w:rsidRPr="00EC660B">
        <w:rPr>
          <w:rFonts w:ascii="Arial" w:hAnsi="Arial" w:cs="Arial"/>
        </w:rPr>
        <w:t>the</w:t>
      </w:r>
      <w:proofErr w:type="gramEnd"/>
      <w:r w:rsidRPr="00EC660B">
        <w:rPr>
          <w:rFonts w:ascii="Arial" w:hAnsi="Arial" w:cs="Arial"/>
        </w:rPr>
        <w:t xml:space="preserve"> Western Front and the politics of remembrance in Britain’, </w:t>
      </w:r>
      <w:r w:rsidRPr="00EC660B">
        <w:rPr>
          <w:rFonts w:ascii="Arial" w:hAnsi="Arial" w:cs="Arial"/>
          <w:i/>
        </w:rPr>
        <w:t>Ecumene</w:t>
      </w:r>
      <w:r w:rsidRPr="00EC660B">
        <w:rPr>
          <w:rFonts w:ascii="Arial" w:hAnsi="Arial" w:cs="Arial"/>
        </w:rPr>
        <w:t xml:space="preserve">, 2 (3): </w:t>
      </w:r>
      <w:r w:rsidRPr="00EC660B">
        <w:rPr>
          <w:rFonts w:ascii="Arial" w:hAnsi="Arial" w:cs="Arial"/>
          <w:shd w:val="clear" w:color="auto" w:fill="FFFFFF"/>
        </w:rPr>
        <w:t>293-323.</w:t>
      </w:r>
    </w:p>
    <w:p w14:paraId="7170D5B0" w14:textId="77777777" w:rsidR="00E15024" w:rsidRPr="00EC660B" w:rsidRDefault="00E15024" w:rsidP="00E15024">
      <w:pPr>
        <w:rPr>
          <w:rFonts w:ascii="Arial" w:hAnsi="Arial" w:cs="Arial"/>
        </w:rPr>
      </w:pPr>
    </w:p>
    <w:p w14:paraId="10C2B9A6" w14:textId="77777777" w:rsidR="00E15024" w:rsidRPr="00EC660B" w:rsidRDefault="00E15024" w:rsidP="00E15024">
      <w:pPr>
        <w:rPr>
          <w:rFonts w:ascii="Arial" w:hAnsi="Arial" w:cs="Arial"/>
        </w:rPr>
      </w:pPr>
      <w:r w:rsidRPr="00EC660B">
        <w:rPr>
          <w:rFonts w:ascii="Arial" w:hAnsi="Arial" w:cs="Arial"/>
        </w:rPr>
        <w:t xml:space="preserve">Hill, A. (1930) </w:t>
      </w:r>
      <w:r w:rsidRPr="00EC660B">
        <w:rPr>
          <w:rFonts w:ascii="Arial" w:hAnsi="Arial" w:cs="Arial"/>
          <w:i/>
        </w:rPr>
        <w:t>The Graphic Newspaper</w:t>
      </w:r>
      <w:r w:rsidRPr="00EC660B">
        <w:rPr>
          <w:rFonts w:ascii="Arial" w:hAnsi="Arial" w:cs="Arial"/>
        </w:rPr>
        <w:t>, 15 November: London.</w:t>
      </w:r>
    </w:p>
    <w:p w14:paraId="1958E0C3" w14:textId="77777777" w:rsidR="00E15024" w:rsidRPr="00EC660B" w:rsidRDefault="00E15024" w:rsidP="00E15024">
      <w:pPr>
        <w:rPr>
          <w:rFonts w:ascii="Arial" w:hAnsi="Arial" w:cs="Arial"/>
        </w:rPr>
      </w:pPr>
    </w:p>
    <w:p w14:paraId="01B348F3" w14:textId="77777777" w:rsidR="00E15024" w:rsidRPr="00EC660B" w:rsidRDefault="00E15024" w:rsidP="00E15024">
      <w:pPr>
        <w:rPr>
          <w:rStyle w:val="para"/>
          <w:rFonts w:ascii="Arial" w:hAnsi="Arial" w:cs="Arial"/>
        </w:rPr>
      </w:pPr>
      <w:r w:rsidRPr="00EC660B">
        <w:rPr>
          <w:rStyle w:val="para"/>
          <w:rFonts w:ascii="Arial" w:hAnsi="Arial" w:cs="Arial"/>
        </w:rPr>
        <w:t xml:space="preserve">Jones, D. (1937) </w:t>
      </w:r>
      <w:r w:rsidRPr="00EC660B">
        <w:rPr>
          <w:rStyle w:val="para"/>
          <w:rFonts w:ascii="Arial" w:hAnsi="Arial" w:cs="Arial"/>
          <w:i/>
        </w:rPr>
        <w:t>In Parenthesis</w:t>
      </w:r>
      <w:r w:rsidRPr="00EC660B">
        <w:rPr>
          <w:rStyle w:val="para"/>
          <w:rFonts w:ascii="Arial" w:hAnsi="Arial" w:cs="Arial"/>
        </w:rPr>
        <w:t>, London: Faber.</w:t>
      </w:r>
    </w:p>
    <w:p w14:paraId="560236EB" w14:textId="77777777" w:rsidR="00E15024" w:rsidRPr="00EC660B" w:rsidRDefault="00E15024" w:rsidP="00E15024">
      <w:pPr>
        <w:rPr>
          <w:rFonts w:ascii="Arial" w:hAnsi="Arial" w:cs="Arial"/>
        </w:rPr>
      </w:pPr>
    </w:p>
    <w:p w14:paraId="2E01A865" w14:textId="77777777" w:rsidR="00E15024" w:rsidRPr="00EC660B" w:rsidRDefault="00E15024" w:rsidP="00E15024">
      <w:pPr>
        <w:rPr>
          <w:rFonts w:ascii="Arial" w:hAnsi="Arial" w:cs="Arial"/>
        </w:rPr>
      </w:pPr>
      <w:r w:rsidRPr="00EC660B">
        <w:rPr>
          <w:rFonts w:ascii="Arial" w:hAnsi="Arial" w:cs="Arial"/>
        </w:rPr>
        <w:t xml:space="preserve">Keegan, J. (1976) </w:t>
      </w:r>
      <w:r w:rsidRPr="00EC660B">
        <w:rPr>
          <w:rFonts w:ascii="Arial" w:hAnsi="Arial" w:cs="Arial"/>
          <w:i/>
        </w:rPr>
        <w:t>The Face of Battle</w:t>
      </w:r>
      <w:r w:rsidRPr="00EC660B">
        <w:rPr>
          <w:rFonts w:ascii="Arial" w:hAnsi="Arial" w:cs="Arial"/>
        </w:rPr>
        <w:t>, London: Penguin.</w:t>
      </w:r>
    </w:p>
    <w:p w14:paraId="10A5FF10" w14:textId="77777777" w:rsidR="00E15024" w:rsidRPr="00EC660B" w:rsidRDefault="00E15024" w:rsidP="00E15024">
      <w:pPr>
        <w:rPr>
          <w:rFonts w:ascii="Arial" w:hAnsi="Arial" w:cs="Arial"/>
        </w:rPr>
      </w:pPr>
    </w:p>
    <w:p w14:paraId="4B36D085" w14:textId="77777777" w:rsidR="00E15024" w:rsidRPr="00EC660B" w:rsidRDefault="00E15024" w:rsidP="00E15024">
      <w:pPr>
        <w:rPr>
          <w:rFonts w:ascii="Arial" w:hAnsi="Arial"/>
          <w:sz w:val="26"/>
        </w:rPr>
      </w:pPr>
      <w:r w:rsidRPr="00EC660B">
        <w:rPr>
          <w:rFonts w:ascii="Arial" w:hAnsi="Arial"/>
          <w:sz w:val="26"/>
        </w:rPr>
        <w:t xml:space="preserve">Kern, S. (1983) </w:t>
      </w:r>
      <w:r w:rsidRPr="00EC660B">
        <w:rPr>
          <w:rFonts w:ascii="Arial" w:hAnsi="Arial"/>
          <w:i/>
          <w:sz w:val="26"/>
        </w:rPr>
        <w:t>On the Culture of Time and Space 1880 - 1918</w:t>
      </w:r>
      <w:r w:rsidRPr="00EC660B">
        <w:rPr>
          <w:rFonts w:ascii="Arial" w:hAnsi="Arial"/>
          <w:sz w:val="26"/>
        </w:rPr>
        <w:t>, London: Weidenfeld and Nicholson.</w:t>
      </w:r>
    </w:p>
    <w:p w14:paraId="10EA51A4" w14:textId="77777777" w:rsidR="00E15024" w:rsidRPr="00EC660B" w:rsidRDefault="00E15024" w:rsidP="00E15024">
      <w:pPr>
        <w:rPr>
          <w:rFonts w:ascii="Arial" w:hAnsi="Arial" w:cs="Arial"/>
        </w:rPr>
      </w:pPr>
    </w:p>
    <w:p w14:paraId="084AB375" w14:textId="77777777" w:rsidR="00E15024" w:rsidRPr="00EC660B" w:rsidRDefault="00E15024" w:rsidP="00E15024">
      <w:pPr>
        <w:rPr>
          <w:rFonts w:ascii="Arial" w:hAnsi="Arial" w:cs="Arial"/>
        </w:rPr>
      </w:pPr>
      <w:r w:rsidRPr="00EC660B">
        <w:rPr>
          <w:rFonts w:ascii="Arial" w:hAnsi="Arial" w:cs="Arial"/>
        </w:rPr>
        <w:t>Malvern, S. (2001)</w:t>
      </w:r>
      <w:r w:rsidRPr="00EC660B">
        <w:rPr>
          <w:rFonts w:ascii="Arial" w:hAnsi="Arial"/>
        </w:rPr>
        <w:t xml:space="preserve"> ‘War Tourisms: ‘Englishness’, Art and the First World War’, </w:t>
      </w:r>
      <w:r w:rsidRPr="00EC660B">
        <w:rPr>
          <w:rFonts w:ascii="Arial" w:hAnsi="Arial"/>
          <w:i/>
        </w:rPr>
        <w:t>Oxford Art</w:t>
      </w:r>
      <w:r w:rsidRPr="00EC660B">
        <w:rPr>
          <w:rFonts w:ascii="Arial" w:hAnsi="Arial"/>
        </w:rPr>
        <w:t xml:space="preserve"> </w:t>
      </w:r>
      <w:r w:rsidRPr="00EC660B">
        <w:rPr>
          <w:rFonts w:ascii="Arial" w:hAnsi="Arial"/>
          <w:i/>
        </w:rPr>
        <w:t>Journal</w:t>
      </w:r>
      <w:r w:rsidRPr="00EC660B">
        <w:rPr>
          <w:rFonts w:ascii="Arial" w:hAnsi="Arial"/>
        </w:rPr>
        <w:t xml:space="preserve">, 24 (1): 47-66. </w:t>
      </w:r>
    </w:p>
    <w:p w14:paraId="34D34FCB" w14:textId="77777777" w:rsidR="00E15024" w:rsidRPr="00EC660B" w:rsidRDefault="00E15024" w:rsidP="00E15024">
      <w:pPr>
        <w:rPr>
          <w:rFonts w:ascii="Arial" w:hAnsi="Arial" w:cs="Arial"/>
        </w:rPr>
      </w:pPr>
    </w:p>
    <w:p w14:paraId="29A8F2BE" w14:textId="77777777" w:rsidR="00E15024" w:rsidRPr="00EC660B" w:rsidRDefault="00E15024" w:rsidP="00E15024">
      <w:pPr>
        <w:rPr>
          <w:rFonts w:ascii="Arial" w:hAnsi="Arial"/>
          <w:sz w:val="26"/>
        </w:rPr>
      </w:pPr>
      <w:r w:rsidRPr="00EC660B">
        <w:rPr>
          <w:rFonts w:ascii="Arial" w:hAnsi="Arial"/>
          <w:sz w:val="26"/>
        </w:rPr>
        <w:t xml:space="preserve">Martins, L. (1999) 'Navigating in Tropical Waters' in Cosgrove, D. (ed.) (1999) </w:t>
      </w:r>
      <w:r w:rsidRPr="00EC660B">
        <w:rPr>
          <w:rFonts w:ascii="Arial" w:hAnsi="Arial"/>
          <w:i/>
          <w:sz w:val="26"/>
        </w:rPr>
        <w:t>Mappings</w:t>
      </w:r>
      <w:r w:rsidRPr="00EC660B">
        <w:rPr>
          <w:rFonts w:ascii="Arial" w:hAnsi="Arial"/>
          <w:sz w:val="26"/>
        </w:rPr>
        <w:t>, London: Reaktion.</w:t>
      </w:r>
    </w:p>
    <w:p w14:paraId="51752E40" w14:textId="77777777" w:rsidR="00E15024" w:rsidRPr="00EC660B" w:rsidRDefault="00E15024" w:rsidP="00E15024">
      <w:pPr>
        <w:rPr>
          <w:rFonts w:ascii="Arial" w:hAnsi="Arial" w:cs="Arial"/>
        </w:rPr>
      </w:pPr>
    </w:p>
    <w:p w14:paraId="177C352E" w14:textId="77777777" w:rsidR="00E15024" w:rsidRPr="00EC660B" w:rsidRDefault="00E15024" w:rsidP="00E15024">
      <w:pPr>
        <w:rPr>
          <w:rFonts w:ascii="Arial" w:hAnsi="Arial" w:cs="Arial"/>
        </w:rPr>
      </w:pPr>
      <w:r w:rsidRPr="00EC660B">
        <w:rPr>
          <w:rFonts w:ascii="Arial" w:hAnsi="Arial" w:cs="Arial"/>
        </w:rPr>
        <w:t xml:space="preserve">Mitchell, W.J.T. (1994) </w:t>
      </w:r>
      <w:r w:rsidRPr="00EC660B">
        <w:rPr>
          <w:rFonts w:ascii="Arial" w:hAnsi="Arial" w:cs="Arial"/>
          <w:i/>
        </w:rPr>
        <w:t>Landscape and Power</w:t>
      </w:r>
      <w:r w:rsidRPr="00EC660B">
        <w:rPr>
          <w:rFonts w:ascii="Arial" w:hAnsi="Arial" w:cs="Arial"/>
        </w:rPr>
        <w:t xml:space="preserve">, Chicago: University of Chicago Press. </w:t>
      </w:r>
    </w:p>
    <w:p w14:paraId="1310D6B8" w14:textId="77777777" w:rsidR="00E15024" w:rsidRPr="00EC660B" w:rsidRDefault="00E15024" w:rsidP="00E15024">
      <w:pPr>
        <w:rPr>
          <w:rFonts w:ascii="Arial" w:hAnsi="Arial" w:cs="Arial"/>
        </w:rPr>
      </w:pPr>
    </w:p>
    <w:p w14:paraId="0809FC61" w14:textId="77777777" w:rsidR="00E15024" w:rsidRPr="00EC660B" w:rsidRDefault="00E15024" w:rsidP="00E15024">
      <w:pPr>
        <w:jc w:val="both"/>
        <w:rPr>
          <w:rFonts w:ascii="Arial" w:hAnsi="Arial" w:cs="Arial"/>
        </w:rPr>
      </w:pPr>
      <w:r w:rsidRPr="00EC660B">
        <w:rPr>
          <w:rFonts w:ascii="Arial" w:hAnsi="Arial" w:cs="Arial"/>
        </w:rPr>
        <w:t xml:space="preserve">Nash, N. (1948) </w:t>
      </w:r>
      <w:r w:rsidRPr="00EC660B">
        <w:rPr>
          <w:rFonts w:ascii="Arial" w:hAnsi="Arial" w:cs="Arial"/>
          <w:i/>
        </w:rPr>
        <w:t>Outline: An Autobiography and Other Writings</w:t>
      </w:r>
      <w:r w:rsidRPr="00EC660B">
        <w:rPr>
          <w:rFonts w:ascii="Arial" w:hAnsi="Arial" w:cs="Arial"/>
        </w:rPr>
        <w:t>, London: Faber and Faber.</w:t>
      </w:r>
    </w:p>
    <w:p w14:paraId="0223DD2C" w14:textId="77777777" w:rsidR="00E15024" w:rsidRPr="00EC660B" w:rsidRDefault="00E15024" w:rsidP="00E15024">
      <w:pPr>
        <w:rPr>
          <w:rFonts w:ascii="Arial" w:hAnsi="Arial" w:cs="Arial"/>
        </w:rPr>
      </w:pPr>
    </w:p>
    <w:p w14:paraId="34E8A2D9" w14:textId="77777777" w:rsidR="00E15024" w:rsidRPr="00EC660B" w:rsidRDefault="00E15024" w:rsidP="00E15024">
      <w:pPr>
        <w:rPr>
          <w:rFonts w:ascii="Arial" w:hAnsi="Arial" w:cs="Arial"/>
        </w:rPr>
      </w:pPr>
      <w:r w:rsidRPr="00EC660B">
        <w:rPr>
          <w:rFonts w:ascii="Arial" w:hAnsi="Arial" w:cs="Arial"/>
        </w:rPr>
        <w:t xml:space="preserve">Newton, W.G. (1916) </w:t>
      </w:r>
      <w:r w:rsidRPr="00EC660B">
        <w:rPr>
          <w:rFonts w:ascii="Arial" w:hAnsi="Arial" w:cs="Arial"/>
          <w:i/>
        </w:rPr>
        <w:t>Military Landscape and Target Indication</w:t>
      </w:r>
      <w:r w:rsidRPr="00EC660B">
        <w:rPr>
          <w:rFonts w:ascii="Arial" w:hAnsi="Arial" w:cs="Arial"/>
        </w:rPr>
        <w:t>, London: Hugh Rees.</w:t>
      </w:r>
    </w:p>
    <w:p w14:paraId="5BBC2BB6" w14:textId="77777777" w:rsidR="00E15024" w:rsidRPr="00EC660B" w:rsidRDefault="00E15024" w:rsidP="00E15024">
      <w:pPr>
        <w:rPr>
          <w:rFonts w:ascii="Arial" w:hAnsi="Arial" w:cs="Arial"/>
        </w:rPr>
      </w:pPr>
    </w:p>
    <w:p w14:paraId="5CE5BD88" w14:textId="77777777" w:rsidR="00E15024" w:rsidRPr="00EC660B" w:rsidRDefault="00E15024" w:rsidP="00E15024">
      <w:pPr>
        <w:rPr>
          <w:rFonts w:ascii="Arial" w:hAnsi="Arial" w:cs="Arial"/>
        </w:rPr>
      </w:pPr>
      <w:r w:rsidRPr="00EC660B">
        <w:rPr>
          <w:rFonts w:ascii="Arial" w:hAnsi="Arial" w:cs="Arial"/>
        </w:rPr>
        <w:t xml:space="preserve">Reed, Henry, ‘Judging distances’, in </w:t>
      </w:r>
      <w:r w:rsidRPr="00EC660B">
        <w:rPr>
          <w:rFonts w:ascii="Arial" w:hAnsi="Arial" w:cs="Arial"/>
          <w:i/>
        </w:rPr>
        <w:t>New Statesman and Nation</w:t>
      </w:r>
      <w:r w:rsidRPr="00EC660B">
        <w:rPr>
          <w:rFonts w:ascii="Arial" w:hAnsi="Arial" w:cs="Arial"/>
        </w:rPr>
        <w:t>, no. 628, 6 March 1943, p.155.</w:t>
      </w:r>
    </w:p>
    <w:p w14:paraId="74A4F121" w14:textId="77777777" w:rsidR="00E15024" w:rsidRPr="00EC660B" w:rsidRDefault="00E15024" w:rsidP="00E15024">
      <w:pPr>
        <w:rPr>
          <w:rFonts w:ascii="Arial" w:hAnsi="Arial" w:cs="Arial"/>
        </w:rPr>
      </w:pPr>
    </w:p>
    <w:p w14:paraId="76C38050" w14:textId="77777777" w:rsidR="00E15024" w:rsidRPr="00EC660B" w:rsidRDefault="00E15024" w:rsidP="00E15024">
      <w:pPr>
        <w:rPr>
          <w:rFonts w:ascii="Arial" w:hAnsi="Arial" w:cs="Arial"/>
        </w:rPr>
      </w:pPr>
      <w:r w:rsidRPr="00EC660B">
        <w:rPr>
          <w:rFonts w:ascii="Arial" w:hAnsi="Arial" w:cs="Arial"/>
        </w:rPr>
        <w:t xml:space="preserve">Redgrave, R. (1886) </w:t>
      </w:r>
      <w:r w:rsidRPr="00EC660B">
        <w:rPr>
          <w:rFonts w:ascii="Arial" w:hAnsi="Arial" w:cs="Arial"/>
          <w:i/>
        </w:rPr>
        <w:t>A Century of Painters</w:t>
      </w:r>
      <w:r w:rsidRPr="00EC660B">
        <w:rPr>
          <w:rFonts w:ascii="Arial" w:hAnsi="Arial" w:cs="Arial"/>
        </w:rPr>
        <w:t>, London: Graves and Armstrong.</w:t>
      </w:r>
    </w:p>
    <w:p w14:paraId="451E6AAF" w14:textId="77777777" w:rsidR="00E15024" w:rsidRPr="00EC660B" w:rsidRDefault="00E15024" w:rsidP="00E15024">
      <w:pPr>
        <w:rPr>
          <w:rFonts w:ascii="Arial" w:hAnsi="Arial" w:cs="Arial"/>
          <w:lang w:bidi="en-US"/>
        </w:rPr>
      </w:pPr>
    </w:p>
    <w:p w14:paraId="3AEF8B86" w14:textId="77777777" w:rsidR="00E15024" w:rsidRPr="00EC660B" w:rsidRDefault="00E15024" w:rsidP="00E15024">
      <w:pPr>
        <w:rPr>
          <w:rFonts w:ascii="Arial" w:hAnsi="Arial" w:cs="Arial"/>
        </w:rPr>
      </w:pPr>
      <w:r w:rsidRPr="00EC660B">
        <w:rPr>
          <w:rFonts w:ascii="Arial" w:hAnsi="Arial" w:cs="Arial"/>
        </w:rPr>
        <w:t xml:space="preserve">Roberts, W. (1974) 4.5 </w:t>
      </w:r>
      <w:r w:rsidRPr="00EC660B">
        <w:rPr>
          <w:rFonts w:ascii="Arial" w:hAnsi="Arial" w:cs="Arial"/>
          <w:i/>
        </w:rPr>
        <w:t>Howitzer Gunner RFA : The War to end all Wars</w:t>
      </w:r>
      <w:r w:rsidRPr="00EC660B">
        <w:rPr>
          <w:rFonts w:ascii="Arial" w:hAnsi="Arial" w:cs="Arial"/>
        </w:rPr>
        <w:t>, London: Canada Press.</w:t>
      </w:r>
    </w:p>
    <w:p w14:paraId="12C86641" w14:textId="77777777" w:rsidR="00E15024" w:rsidRPr="00EC660B" w:rsidRDefault="00E15024" w:rsidP="00E15024">
      <w:pPr>
        <w:rPr>
          <w:rFonts w:ascii="Arial" w:hAnsi="Arial" w:cs="Arial"/>
        </w:rPr>
      </w:pPr>
    </w:p>
    <w:p w14:paraId="2D078589" w14:textId="77777777" w:rsidR="00E15024" w:rsidRPr="00EC660B" w:rsidRDefault="00E15024" w:rsidP="00E15024">
      <w:pPr>
        <w:rPr>
          <w:rFonts w:ascii="Times" w:hAnsi="Times"/>
        </w:rPr>
      </w:pPr>
      <w:r w:rsidRPr="00EC660B">
        <w:rPr>
          <w:rFonts w:ascii="Arial" w:hAnsi="Arial" w:cs="Arial"/>
          <w:shd w:val="clear" w:color="auto" w:fill="FFFFFF"/>
        </w:rPr>
        <w:t xml:space="preserve">Saint-Amour, P. (2003) ‘Modernist Reconnaissance, </w:t>
      </w:r>
      <w:r w:rsidRPr="00EC660B">
        <w:rPr>
          <w:rFonts w:ascii="Arial" w:hAnsi="Arial" w:cs="Arial"/>
          <w:i/>
          <w:shd w:val="clear" w:color="auto" w:fill="FFFFFF"/>
        </w:rPr>
        <w:t>Modernism/Modernity</w:t>
      </w:r>
      <w:r w:rsidRPr="00EC660B">
        <w:rPr>
          <w:rFonts w:ascii="Arial" w:hAnsi="Arial" w:cs="Arial"/>
          <w:shd w:val="clear" w:color="auto" w:fill="FFFFFF"/>
        </w:rPr>
        <w:t xml:space="preserve"> 10 (2): 349-80.</w:t>
      </w:r>
    </w:p>
    <w:p w14:paraId="149A9BE9" w14:textId="77777777" w:rsidR="00E15024" w:rsidRPr="00EC660B" w:rsidRDefault="00E15024" w:rsidP="00E15024">
      <w:pPr>
        <w:shd w:val="clear" w:color="auto" w:fill="FFFFFF"/>
        <w:spacing w:before="100" w:beforeAutospacing="1" w:after="24" w:line="336" w:lineRule="atLeast"/>
        <w:rPr>
          <w:rFonts w:ascii="Helvetica" w:hAnsi="Helvetica"/>
        </w:rPr>
      </w:pPr>
      <w:r w:rsidRPr="00EC660B">
        <w:rPr>
          <w:rFonts w:ascii="Arial" w:hAnsi="Arial" w:cs="Arial"/>
        </w:rPr>
        <w:t xml:space="preserve">Saunders, N. (2003) </w:t>
      </w:r>
      <w:r w:rsidRPr="00EC660B">
        <w:rPr>
          <w:rFonts w:ascii="Helvetica" w:hAnsi="Helvetica"/>
          <w:i/>
          <w:iCs/>
        </w:rPr>
        <w:t>Trench Art: Materialities and Memories of War</w:t>
      </w:r>
      <w:r w:rsidRPr="00EC660B">
        <w:rPr>
          <w:rFonts w:ascii="Helvetica" w:hAnsi="Helvetica"/>
        </w:rPr>
        <w:t>, Oxford: Berg.</w:t>
      </w:r>
    </w:p>
    <w:p w14:paraId="0A5BE388" w14:textId="77777777" w:rsidR="00E15024" w:rsidRPr="00EC660B" w:rsidRDefault="00E15024" w:rsidP="00E15024">
      <w:pPr>
        <w:shd w:val="clear" w:color="auto" w:fill="FFFFFF"/>
        <w:spacing w:before="100" w:beforeAutospacing="1" w:after="24" w:line="336" w:lineRule="atLeast"/>
        <w:rPr>
          <w:rFonts w:ascii="Helvetica" w:hAnsi="Helvetica"/>
        </w:rPr>
      </w:pPr>
    </w:p>
    <w:p w14:paraId="0234A07E" w14:textId="77777777" w:rsidR="00E15024" w:rsidRPr="00EC660B" w:rsidRDefault="00E15024" w:rsidP="00E15024">
      <w:pPr>
        <w:rPr>
          <w:rFonts w:ascii="Times" w:hAnsi="Times"/>
          <w:sz w:val="20"/>
          <w:szCs w:val="20"/>
        </w:rPr>
      </w:pPr>
      <w:r w:rsidRPr="00EC660B">
        <w:rPr>
          <w:rFonts w:ascii="Helvetica" w:hAnsi="Helvetica"/>
        </w:rPr>
        <w:t xml:space="preserve">Saunders, N. (2014) </w:t>
      </w:r>
      <w:r w:rsidRPr="00EC660B">
        <w:rPr>
          <w:rFonts w:ascii="Helvetica" w:hAnsi="Helvetica"/>
          <w:i/>
          <w:iCs/>
        </w:rPr>
        <w:t xml:space="preserve">The Poppy: A History of Conflict, Loss, Remembrance &amp; Redemption, </w:t>
      </w:r>
      <w:r w:rsidRPr="00EC660B">
        <w:rPr>
          <w:rFonts w:ascii="Helvetica" w:hAnsi="Helvetica"/>
          <w:iCs/>
        </w:rPr>
        <w:t>London: Oneworld.</w:t>
      </w:r>
    </w:p>
    <w:p w14:paraId="37FDAB36" w14:textId="77777777" w:rsidR="00E15024" w:rsidRPr="00EC660B" w:rsidRDefault="00E15024" w:rsidP="00E15024">
      <w:pPr>
        <w:rPr>
          <w:rFonts w:ascii="Arial" w:hAnsi="Arial" w:cs="Arial"/>
        </w:rPr>
      </w:pPr>
    </w:p>
    <w:p w14:paraId="199DFB42" w14:textId="77777777" w:rsidR="00E15024" w:rsidRPr="00EC660B" w:rsidRDefault="00E15024" w:rsidP="00E15024">
      <w:pPr>
        <w:rPr>
          <w:rFonts w:ascii="Arial" w:hAnsi="Arial" w:cs="Arial"/>
        </w:rPr>
      </w:pPr>
      <w:r w:rsidRPr="00EC660B">
        <w:rPr>
          <w:rFonts w:ascii="Arial" w:hAnsi="Arial" w:cs="Arial"/>
        </w:rPr>
        <w:t>Sebald, W.G. (1995) The Rings of Saturn, London: Harvill.</w:t>
      </w:r>
    </w:p>
    <w:p w14:paraId="5CBCC5C7" w14:textId="77777777" w:rsidR="00E15024" w:rsidRPr="00EC660B" w:rsidRDefault="00E15024" w:rsidP="00E15024">
      <w:pPr>
        <w:rPr>
          <w:rFonts w:ascii="Arial" w:hAnsi="Arial" w:cs="Arial"/>
        </w:rPr>
      </w:pPr>
    </w:p>
    <w:p w14:paraId="50FC42FA" w14:textId="77777777" w:rsidR="00E15024" w:rsidRPr="00EC660B" w:rsidRDefault="00E15024" w:rsidP="00E15024">
      <w:pPr>
        <w:rPr>
          <w:rFonts w:ascii="Arial" w:hAnsi="Arial" w:cs="Arial"/>
        </w:rPr>
      </w:pPr>
      <w:r w:rsidRPr="00EC660B">
        <w:rPr>
          <w:rFonts w:ascii="Arial" w:hAnsi="Arial" w:cs="Arial"/>
        </w:rPr>
        <w:t xml:space="preserve">Stuart Dolden, A. (1980) </w:t>
      </w:r>
      <w:r w:rsidRPr="00EC660B">
        <w:rPr>
          <w:rFonts w:ascii="Arial" w:hAnsi="Arial" w:cs="Arial"/>
          <w:i/>
        </w:rPr>
        <w:t xml:space="preserve">Cannon Fodder, </w:t>
      </w:r>
      <w:r w:rsidRPr="00EC660B">
        <w:rPr>
          <w:rFonts w:ascii="Arial" w:hAnsi="Arial" w:cs="Arial"/>
        </w:rPr>
        <w:t xml:space="preserve">Blandford UK: Blandford Press. </w:t>
      </w:r>
    </w:p>
    <w:p w14:paraId="78A248EF" w14:textId="77777777" w:rsidR="00E15024" w:rsidRPr="00EC660B" w:rsidRDefault="00E15024" w:rsidP="00E15024">
      <w:pPr>
        <w:rPr>
          <w:rFonts w:ascii="Arial" w:hAnsi="Arial" w:cs="Arial"/>
        </w:rPr>
      </w:pPr>
    </w:p>
    <w:p w14:paraId="04D4EA0B" w14:textId="77777777" w:rsidR="00E15024" w:rsidRPr="00EC660B" w:rsidRDefault="00E15024" w:rsidP="00E15024">
      <w:pPr>
        <w:rPr>
          <w:rFonts w:ascii="Arial" w:hAnsi="Arial" w:cs="Arial"/>
        </w:rPr>
      </w:pPr>
      <w:r w:rsidRPr="00EC660B">
        <w:rPr>
          <w:rFonts w:ascii="Arial" w:hAnsi="Arial" w:cs="Arial"/>
        </w:rPr>
        <w:t xml:space="preserve">Swofford, A. (2003) </w:t>
      </w:r>
      <w:r w:rsidRPr="00EC660B">
        <w:rPr>
          <w:rFonts w:ascii="Arial" w:hAnsi="Arial" w:cs="Arial"/>
          <w:i/>
        </w:rPr>
        <w:t xml:space="preserve">Jarhead: </w:t>
      </w:r>
      <w:proofErr w:type="gramStart"/>
      <w:r w:rsidRPr="00EC660B">
        <w:rPr>
          <w:rFonts w:ascii="Arial" w:hAnsi="Arial" w:cs="Arial"/>
          <w:i/>
        </w:rPr>
        <w:t>a</w:t>
      </w:r>
      <w:proofErr w:type="gramEnd"/>
      <w:r w:rsidRPr="00EC660B">
        <w:rPr>
          <w:rFonts w:ascii="Arial" w:hAnsi="Arial" w:cs="Arial"/>
          <w:i/>
        </w:rPr>
        <w:t xml:space="preserve"> Marine’s Chronicle of the Gulf War and other Battles</w:t>
      </w:r>
      <w:r w:rsidRPr="00EC660B">
        <w:rPr>
          <w:rFonts w:ascii="Arial" w:hAnsi="Arial" w:cs="Arial"/>
        </w:rPr>
        <w:t>, Scribner: New York.</w:t>
      </w:r>
    </w:p>
    <w:p w14:paraId="77236D27" w14:textId="77777777" w:rsidR="00E15024" w:rsidRPr="00EC660B" w:rsidRDefault="00E15024" w:rsidP="00E15024">
      <w:pPr>
        <w:rPr>
          <w:rFonts w:ascii="Arial" w:hAnsi="Arial" w:cs="Arial"/>
        </w:rPr>
      </w:pPr>
    </w:p>
    <w:p w14:paraId="251F641C" w14:textId="77777777" w:rsidR="00E15024" w:rsidRPr="00EC660B" w:rsidRDefault="00E15024" w:rsidP="00E15024">
      <w:pPr>
        <w:rPr>
          <w:rFonts w:ascii="Arial" w:hAnsi="Arial" w:cs="Arial"/>
        </w:rPr>
      </w:pPr>
      <w:r w:rsidRPr="00EC660B">
        <w:rPr>
          <w:rFonts w:ascii="Arial" w:hAnsi="Arial" w:cs="Arial"/>
        </w:rPr>
        <w:t xml:space="preserve">Talbot Kelly, R. (1980) </w:t>
      </w:r>
      <w:r w:rsidRPr="00EC660B">
        <w:rPr>
          <w:rFonts w:ascii="Arial" w:hAnsi="Arial" w:cs="Arial"/>
          <w:i/>
        </w:rPr>
        <w:t>A Subaltern’s Odyssey: A Memoir of the Great War, 1915-1917</w:t>
      </w:r>
      <w:r w:rsidRPr="00EC660B">
        <w:rPr>
          <w:rFonts w:ascii="Arial" w:hAnsi="Arial" w:cs="Arial"/>
        </w:rPr>
        <w:t>, London: William Kimber.</w:t>
      </w:r>
    </w:p>
    <w:p w14:paraId="40505239" w14:textId="77777777" w:rsidR="00E15024" w:rsidRPr="00EC660B" w:rsidRDefault="00E15024" w:rsidP="00E15024">
      <w:pPr>
        <w:pStyle w:val="Heading1"/>
        <w:rPr>
          <w:rFonts w:cs="Arial"/>
          <w:b w:val="0"/>
          <w:color w:val="auto"/>
          <w:sz w:val="24"/>
          <w:szCs w:val="24"/>
        </w:rPr>
      </w:pPr>
    </w:p>
    <w:p w14:paraId="646F3C8E" w14:textId="77777777" w:rsidR="00E15024" w:rsidRPr="00EC660B" w:rsidRDefault="00E15024" w:rsidP="00E15024">
      <w:pPr>
        <w:rPr>
          <w:rFonts w:ascii="Arial" w:hAnsi="Arial" w:cs="Arial"/>
        </w:rPr>
      </w:pPr>
      <w:r w:rsidRPr="00EC660B">
        <w:rPr>
          <w:rFonts w:ascii="Arial" w:hAnsi="Arial" w:cs="Arial"/>
        </w:rPr>
        <w:t xml:space="preserve">Weir, B. (2007) ‘”Degrees in nothingness”: battlefield topography in the First World War’, </w:t>
      </w:r>
      <w:r w:rsidRPr="00EC660B">
        <w:rPr>
          <w:rFonts w:ascii="Arial" w:hAnsi="Arial" w:cs="Arial"/>
          <w:i/>
        </w:rPr>
        <w:t>Critical Quarterly</w:t>
      </w:r>
      <w:r w:rsidRPr="00EC660B">
        <w:rPr>
          <w:rFonts w:ascii="Arial" w:hAnsi="Arial" w:cs="Arial"/>
        </w:rPr>
        <w:t>, 49 (4): 40-55.</w:t>
      </w:r>
    </w:p>
    <w:p w14:paraId="1A730A5A" w14:textId="77777777" w:rsidR="00E15024" w:rsidRPr="00EC660B" w:rsidRDefault="00E15024" w:rsidP="00E15024">
      <w:pPr>
        <w:rPr>
          <w:rFonts w:ascii="Arial" w:hAnsi="Arial" w:cs="Arial"/>
        </w:rPr>
      </w:pPr>
    </w:p>
    <w:p w14:paraId="4A60CE59" w14:textId="77777777" w:rsidR="00E15024" w:rsidRPr="00EC660B" w:rsidRDefault="00E15024" w:rsidP="00E15024">
      <w:pPr>
        <w:rPr>
          <w:rFonts w:ascii="Arial" w:hAnsi="Arial" w:cs="Arial"/>
        </w:rPr>
      </w:pPr>
      <w:r w:rsidRPr="00EC660B">
        <w:rPr>
          <w:rFonts w:ascii="Arial" w:hAnsi="Arial" w:cs="Arial"/>
        </w:rPr>
        <w:t xml:space="preserve">Wylie, J. (2007) ‘The Spectral Geographies of W.G.Sebald’, </w:t>
      </w:r>
      <w:r w:rsidRPr="00EC660B">
        <w:rPr>
          <w:rFonts w:ascii="Arial" w:hAnsi="Arial" w:cs="Arial"/>
          <w:i/>
        </w:rPr>
        <w:t>Cultural</w:t>
      </w:r>
      <w:r w:rsidRPr="00EC660B">
        <w:rPr>
          <w:rFonts w:ascii="Arial" w:hAnsi="Arial" w:cs="Arial"/>
        </w:rPr>
        <w:t xml:space="preserve"> </w:t>
      </w:r>
      <w:r w:rsidRPr="00EC660B">
        <w:rPr>
          <w:rFonts w:ascii="Arial" w:hAnsi="Arial" w:cs="Arial"/>
          <w:i/>
        </w:rPr>
        <w:t>Geographies</w:t>
      </w:r>
      <w:r w:rsidRPr="00EC660B">
        <w:rPr>
          <w:rFonts w:ascii="Arial" w:hAnsi="Arial" w:cs="Arial"/>
        </w:rPr>
        <w:t>, 14 (2): 171-188.</w:t>
      </w:r>
    </w:p>
    <w:p w14:paraId="7ED91A40" w14:textId="77777777" w:rsidR="00E15024" w:rsidRPr="00EC660B" w:rsidRDefault="00E15024" w:rsidP="00E15024">
      <w:pPr>
        <w:rPr>
          <w:rFonts w:ascii="Arial" w:hAnsi="Arial" w:cs="Arial"/>
        </w:rPr>
      </w:pPr>
    </w:p>
    <w:p w14:paraId="69D0F4FF" w14:textId="77777777" w:rsidR="00E15024" w:rsidRPr="00EC660B" w:rsidRDefault="00E15024" w:rsidP="00E15024">
      <w:pPr>
        <w:rPr>
          <w:rFonts w:ascii="Arial" w:hAnsi="Arial" w:cs="Arial"/>
        </w:rPr>
      </w:pPr>
    </w:p>
    <w:p w14:paraId="1053BC46" w14:textId="77777777" w:rsidR="00E15024" w:rsidRPr="00EC660B" w:rsidRDefault="00E15024" w:rsidP="00E15024">
      <w:pPr>
        <w:rPr>
          <w:rFonts w:ascii="Arial" w:hAnsi="Arial" w:cs="Arial"/>
        </w:rPr>
      </w:pPr>
    </w:p>
    <w:p w14:paraId="776A708A" w14:textId="77777777" w:rsidR="00E15024" w:rsidRPr="00EC660B" w:rsidRDefault="00E15024" w:rsidP="00E15024">
      <w:pPr>
        <w:pStyle w:val="BodyTextIndent"/>
        <w:ind w:left="0" w:firstLine="720"/>
        <w:jc w:val="left"/>
        <w:rPr>
          <w:rFonts w:cs="Arial"/>
          <w:szCs w:val="24"/>
        </w:rPr>
      </w:pPr>
    </w:p>
    <w:p w14:paraId="496C574B" w14:textId="77777777" w:rsidR="00E15024" w:rsidRPr="00EC660B" w:rsidRDefault="00E15024" w:rsidP="00E15024">
      <w:pPr>
        <w:pStyle w:val="BodyTextIndent"/>
        <w:ind w:left="0" w:firstLine="720"/>
        <w:jc w:val="left"/>
        <w:rPr>
          <w:rFonts w:cs="Arial"/>
          <w:szCs w:val="24"/>
        </w:rPr>
      </w:pPr>
    </w:p>
    <w:p w14:paraId="5C5DA725" w14:textId="77777777" w:rsidR="00E15024" w:rsidRPr="00EC660B" w:rsidRDefault="00E15024" w:rsidP="00E15024">
      <w:pPr>
        <w:pStyle w:val="BodyTextIndent"/>
        <w:ind w:left="0" w:firstLine="720"/>
        <w:jc w:val="left"/>
        <w:rPr>
          <w:rFonts w:cs="Arial"/>
          <w:szCs w:val="24"/>
        </w:rPr>
      </w:pPr>
    </w:p>
    <w:p w14:paraId="655AF17A" w14:textId="77777777" w:rsidR="00E15024" w:rsidRPr="00E44129" w:rsidRDefault="00E15024">
      <w:pPr>
        <w:rPr>
          <w:rFonts w:ascii="Arial" w:hAnsi="Arial" w:cs="Arial"/>
        </w:rPr>
      </w:pPr>
    </w:p>
    <w:sectPr w:rsidR="00E15024" w:rsidRPr="00E44129"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84A78"/>
    <w:multiLevelType w:val="multilevel"/>
    <w:tmpl w:val="31EA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43"/>
    <w:rsid w:val="00491243"/>
    <w:rsid w:val="005C0CFE"/>
    <w:rsid w:val="008762CB"/>
    <w:rsid w:val="008957AE"/>
    <w:rsid w:val="00E15024"/>
    <w:rsid w:val="00E44129"/>
    <w:rsid w:val="00F0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79425"/>
  <w15:chartTrackingRefBased/>
  <w15:docId w15:val="{84A0424D-69F9-1240-8C00-1C1C0883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CFE"/>
    <w:rPr>
      <w:rFonts w:ascii="Times New Roman" w:eastAsia="Times New Roman" w:hAnsi="Times New Roman" w:cs="Times New Roman"/>
      <w:lang w:eastAsia="en-GB"/>
    </w:rPr>
  </w:style>
  <w:style w:type="paragraph" w:styleId="Heading1">
    <w:name w:val="heading 1"/>
    <w:basedOn w:val="Normal"/>
    <w:next w:val="Normal"/>
    <w:link w:val="Heading1Char"/>
    <w:qFormat/>
    <w:rsid w:val="00E15024"/>
    <w:pPr>
      <w:keepNext/>
      <w:outlineLvl w:val="0"/>
    </w:pPr>
    <w:rPr>
      <w:rFonts w:ascii="Arial" w:eastAsia="Times" w:hAnsi="Arial"/>
      <w:b/>
      <w:color w:val="80000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st-item">
    <w:name w:val="a-list-item"/>
    <w:basedOn w:val="DefaultParagraphFont"/>
    <w:rsid w:val="005C0CFE"/>
  </w:style>
  <w:style w:type="character" w:customStyle="1" w:styleId="a-text-bold">
    <w:name w:val="a-text-bold"/>
    <w:basedOn w:val="DefaultParagraphFont"/>
    <w:rsid w:val="005C0CFE"/>
  </w:style>
  <w:style w:type="character" w:customStyle="1" w:styleId="apple-converted-space">
    <w:name w:val="apple-converted-space"/>
    <w:basedOn w:val="DefaultParagraphFont"/>
    <w:rsid w:val="005C0CFE"/>
  </w:style>
  <w:style w:type="paragraph" w:styleId="NormalWeb">
    <w:name w:val="Normal (Web)"/>
    <w:basedOn w:val="Normal"/>
    <w:uiPriority w:val="99"/>
    <w:semiHidden/>
    <w:unhideWhenUsed/>
    <w:rsid w:val="005C0CFE"/>
    <w:pPr>
      <w:spacing w:before="100" w:beforeAutospacing="1" w:after="100" w:afterAutospacing="1"/>
    </w:pPr>
  </w:style>
  <w:style w:type="character" w:customStyle="1" w:styleId="Heading1Char">
    <w:name w:val="Heading 1 Char"/>
    <w:basedOn w:val="DefaultParagraphFont"/>
    <w:link w:val="Heading1"/>
    <w:rsid w:val="00E15024"/>
    <w:rPr>
      <w:rFonts w:ascii="Arial" w:eastAsia="Times" w:hAnsi="Arial" w:cs="Times New Roman"/>
      <w:b/>
      <w:color w:val="800000"/>
      <w:sz w:val="28"/>
      <w:szCs w:val="20"/>
      <w:lang w:val="en-US"/>
    </w:rPr>
  </w:style>
  <w:style w:type="paragraph" w:styleId="BodyTextIndent">
    <w:name w:val="Body Text Indent"/>
    <w:basedOn w:val="Normal"/>
    <w:link w:val="BodyTextIndentChar"/>
    <w:rsid w:val="00E15024"/>
    <w:pPr>
      <w:spacing w:line="360" w:lineRule="auto"/>
      <w:ind w:left="720"/>
      <w:jc w:val="both"/>
    </w:pPr>
    <w:rPr>
      <w:rFonts w:ascii="Arial" w:eastAsia="Times" w:hAnsi="Arial"/>
      <w:szCs w:val="20"/>
      <w:lang w:val="en-US" w:eastAsia="en-US"/>
    </w:rPr>
  </w:style>
  <w:style w:type="character" w:customStyle="1" w:styleId="BodyTextIndentChar">
    <w:name w:val="Body Text Indent Char"/>
    <w:basedOn w:val="DefaultParagraphFont"/>
    <w:link w:val="BodyTextIndent"/>
    <w:rsid w:val="00E15024"/>
    <w:rPr>
      <w:rFonts w:ascii="Arial" w:eastAsia="Times" w:hAnsi="Arial" w:cs="Times New Roman"/>
      <w:szCs w:val="20"/>
      <w:lang w:val="en-US"/>
    </w:rPr>
  </w:style>
  <w:style w:type="paragraph" w:styleId="BodyText">
    <w:name w:val="Body Text"/>
    <w:basedOn w:val="Normal"/>
    <w:link w:val="BodyTextChar"/>
    <w:uiPriority w:val="99"/>
    <w:unhideWhenUsed/>
    <w:rsid w:val="00E15024"/>
    <w:pPr>
      <w:spacing w:after="120"/>
    </w:pPr>
    <w:rPr>
      <w:rFonts w:asciiTheme="minorHAnsi" w:eastAsiaTheme="minorEastAsia" w:hAnsiTheme="minorHAnsi" w:cstheme="minorBidi"/>
      <w:lang w:eastAsia="en-US"/>
    </w:rPr>
  </w:style>
  <w:style w:type="character" w:customStyle="1" w:styleId="BodyTextChar">
    <w:name w:val="Body Text Char"/>
    <w:basedOn w:val="DefaultParagraphFont"/>
    <w:link w:val="BodyText"/>
    <w:uiPriority w:val="99"/>
    <w:rsid w:val="00E15024"/>
    <w:rPr>
      <w:rFonts w:eastAsiaTheme="minorEastAsia"/>
    </w:rPr>
  </w:style>
  <w:style w:type="character" w:customStyle="1" w:styleId="para">
    <w:name w:val="para"/>
    <w:basedOn w:val="DefaultParagraphFont"/>
    <w:rsid w:val="00E1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1528">
      <w:bodyDiv w:val="1"/>
      <w:marLeft w:val="0"/>
      <w:marRight w:val="0"/>
      <w:marTop w:val="0"/>
      <w:marBottom w:val="0"/>
      <w:divBdr>
        <w:top w:val="none" w:sz="0" w:space="0" w:color="auto"/>
        <w:left w:val="none" w:sz="0" w:space="0" w:color="auto"/>
        <w:bottom w:val="none" w:sz="0" w:space="0" w:color="auto"/>
        <w:right w:val="none" w:sz="0" w:space="0" w:color="auto"/>
      </w:divBdr>
    </w:div>
    <w:div w:id="20751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5</cp:revision>
  <dcterms:created xsi:type="dcterms:W3CDTF">2020-10-13T15:47:00Z</dcterms:created>
  <dcterms:modified xsi:type="dcterms:W3CDTF">2020-10-13T15:52:00Z</dcterms:modified>
</cp:coreProperties>
</file>