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294D5" w14:textId="3624A145" w:rsidR="00AB1EE4" w:rsidRPr="00163848" w:rsidRDefault="00AB1EE4">
      <w:pPr>
        <w:rPr>
          <w:rFonts w:ascii="Arial" w:hAnsi="Arial" w:cs="Arial"/>
          <w:sz w:val="22"/>
          <w:szCs w:val="22"/>
        </w:rPr>
      </w:pPr>
    </w:p>
    <w:p w14:paraId="364BB181" w14:textId="211B1762" w:rsidR="00AB1EE4" w:rsidRPr="00163848" w:rsidRDefault="00AB1EE4">
      <w:pPr>
        <w:rPr>
          <w:rFonts w:ascii="Arial" w:hAnsi="Arial" w:cs="Arial"/>
          <w:sz w:val="22"/>
          <w:szCs w:val="22"/>
        </w:rPr>
      </w:pPr>
      <w:r w:rsidRPr="00163848">
        <w:rPr>
          <w:rFonts w:ascii="Arial" w:hAnsi="Arial" w:cs="Arial"/>
          <w:sz w:val="22"/>
          <w:szCs w:val="22"/>
        </w:rPr>
        <w:t>Exhibition, catalogue and symposium derived from major Australian Research Council Grant, 2017-19, Melbourne, Australia</w:t>
      </w:r>
    </w:p>
    <w:p w14:paraId="46B8B3B8" w14:textId="36D3617A" w:rsidR="00AB1EE4" w:rsidRPr="00163848" w:rsidRDefault="00AB1EE4">
      <w:pPr>
        <w:rPr>
          <w:rFonts w:ascii="Arial" w:hAnsi="Arial" w:cs="Arial"/>
          <w:sz w:val="22"/>
          <w:szCs w:val="22"/>
        </w:rPr>
      </w:pPr>
    </w:p>
    <w:p w14:paraId="61E41761" w14:textId="77777777" w:rsidR="00AB1EE4" w:rsidRPr="00163848" w:rsidRDefault="00AB1EE4" w:rsidP="00AB1EE4">
      <w:pPr>
        <w:rPr>
          <w:rFonts w:ascii="Arial" w:hAnsi="Arial" w:cs="Arial"/>
          <w:color w:val="0070C0"/>
          <w:sz w:val="22"/>
          <w:szCs w:val="22"/>
        </w:rPr>
      </w:pPr>
      <w:r w:rsidRPr="00163848">
        <w:rPr>
          <w:rFonts w:ascii="Arial" w:hAnsi="Arial" w:cs="Arial"/>
          <w:i/>
          <w:color w:val="0070C0"/>
          <w:sz w:val="22"/>
          <w:szCs w:val="22"/>
          <w:bdr w:val="none" w:sz="0" w:space="0" w:color="auto" w:frame="1"/>
          <w:shd w:val="clear" w:color="auto" w:fill="FFFFFF"/>
        </w:rPr>
        <w:t>Turbulence, Conflict and the Garden of Remediation</w:t>
      </w:r>
      <w:r w:rsidRPr="00163848">
        <w:rPr>
          <w:rFonts w:ascii="Arial" w:hAnsi="Arial" w:cs="Arial"/>
          <w:color w:val="0070C0"/>
          <w:sz w:val="22"/>
          <w:szCs w:val="22"/>
          <w:bdr w:val="none" w:sz="0" w:space="0" w:color="auto" w:frame="1"/>
          <w:shd w:val="clear" w:color="auto" w:fill="FFFFFF"/>
        </w:rPr>
        <w:t xml:space="preserve">, Charles Green, Lyndell Brown, Paul Gough and Jon </w:t>
      </w:r>
      <w:proofErr w:type="spellStart"/>
      <w:r w:rsidRPr="00163848">
        <w:rPr>
          <w:rFonts w:ascii="Arial" w:hAnsi="Arial" w:cs="Arial"/>
          <w:color w:val="0070C0"/>
          <w:sz w:val="22"/>
          <w:szCs w:val="22"/>
          <w:bdr w:val="none" w:sz="0" w:space="0" w:color="auto" w:frame="1"/>
          <w:shd w:val="clear" w:color="auto" w:fill="FFFFFF"/>
        </w:rPr>
        <w:t>Cattapan</w:t>
      </w:r>
      <w:proofErr w:type="spellEnd"/>
      <w:r w:rsidRPr="00163848">
        <w:rPr>
          <w:rFonts w:ascii="Arial" w:hAnsi="Arial" w:cs="Arial"/>
          <w:color w:val="0070C0"/>
          <w:sz w:val="22"/>
          <w:szCs w:val="22"/>
          <w:bdr w:val="none" w:sz="0" w:space="0" w:color="auto" w:frame="1"/>
          <w:shd w:val="clear" w:color="auto" w:fill="FFFFFF"/>
        </w:rPr>
        <w:t>, Domain House Gallery, formerly Australian Centre for Contemporary Art, Melbourne, October – November 2019</w:t>
      </w:r>
    </w:p>
    <w:p w14:paraId="664F51AC" w14:textId="39692630" w:rsidR="00AB1EE4" w:rsidRPr="00163848" w:rsidRDefault="00AB1EE4">
      <w:pPr>
        <w:rPr>
          <w:rFonts w:ascii="Arial" w:hAnsi="Arial" w:cs="Arial"/>
          <w:color w:val="0070C0"/>
          <w:sz w:val="22"/>
          <w:szCs w:val="22"/>
        </w:rPr>
      </w:pPr>
    </w:p>
    <w:p w14:paraId="11EACBDE" w14:textId="779BC19C" w:rsidR="00AD433F" w:rsidRPr="00163848" w:rsidRDefault="00AD43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02254B" w14:textId="1DE312D7" w:rsidR="00663E19" w:rsidRPr="00163848" w:rsidRDefault="00AD433F" w:rsidP="001E5888">
      <w:pPr>
        <w:ind w:left="-284" w:right="-330"/>
        <w:rPr>
          <w:rFonts w:ascii="Arial" w:hAnsi="Arial" w:cs="Arial"/>
          <w:b/>
          <w:color w:val="000000" w:themeColor="text1"/>
          <w:sz w:val="22"/>
          <w:szCs w:val="22"/>
        </w:rPr>
      </w:pPr>
      <w:r w:rsidRPr="00163848">
        <w:rPr>
          <w:rFonts w:ascii="Arial" w:hAnsi="Arial" w:cs="Arial"/>
          <w:b/>
          <w:color w:val="000000" w:themeColor="text1"/>
          <w:sz w:val="22"/>
          <w:szCs w:val="22"/>
        </w:rPr>
        <w:t>Imperatives</w:t>
      </w:r>
    </w:p>
    <w:p w14:paraId="297D4489" w14:textId="38E472C0" w:rsidR="00663E19" w:rsidRPr="00163848" w:rsidRDefault="00663E19" w:rsidP="00663E19">
      <w:pPr>
        <w:ind w:left="-284" w:right="-330"/>
        <w:rPr>
          <w:rFonts w:ascii="Arial" w:hAnsi="Arial" w:cs="Arial"/>
          <w:color w:val="000000" w:themeColor="text1"/>
          <w:sz w:val="22"/>
          <w:szCs w:val="22"/>
        </w:rPr>
      </w:pPr>
      <w:r w:rsidRPr="00163848">
        <w:rPr>
          <w:rFonts w:ascii="Arial" w:hAnsi="Arial" w:cs="Arial"/>
          <w:color w:val="000000" w:themeColor="text1"/>
          <w:sz w:val="22"/>
          <w:szCs w:val="22"/>
        </w:rPr>
        <w:t>The exhibition was the culmination of a three</w:t>
      </w:r>
      <w:r w:rsidR="001158B9" w:rsidRPr="00163848">
        <w:rPr>
          <w:rFonts w:ascii="Arial" w:hAnsi="Arial" w:cs="Arial"/>
          <w:color w:val="000000" w:themeColor="text1"/>
          <w:sz w:val="22"/>
          <w:szCs w:val="22"/>
        </w:rPr>
        <w:t>-</w:t>
      </w:r>
      <w:r w:rsidRPr="00163848">
        <w:rPr>
          <w:rFonts w:ascii="Arial" w:hAnsi="Arial" w:cs="Arial"/>
          <w:color w:val="000000" w:themeColor="text1"/>
          <w:sz w:val="22"/>
          <w:szCs w:val="22"/>
        </w:rPr>
        <w:t xml:space="preserve">year Australian Research Council </w:t>
      </w:r>
      <w:r w:rsidR="00BC6C0C" w:rsidRPr="00163848">
        <w:rPr>
          <w:rFonts w:ascii="Arial" w:hAnsi="Arial" w:cs="Arial"/>
          <w:color w:val="000000" w:themeColor="text1"/>
          <w:sz w:val="22"/>
          <w:szCs w:val="22"/>
        </w:rPr>
        <w:t xml:space="preserve">Discovery Project </w:t>
      </w:r>
      <w:r w:rsidRPr="00163848">
        <w:rPr>
          <w:rFonts w:ascii="Arial" w:hAnsi="Arial" w:cs="Arial"/>
          <w:color w:val="000000" w:themeColor="text1"/>
          <w:sz w:val="22"/>
          <w:szCs w:val="22"/>
        </w:rPr>
        <w:t>Grant, 2017-2019, ‘World Pictures</w:t>
      </w:r>
      <w:r w:rsidR="001C47BB" w:rsidRPr="00163848">
        <w:rPr>
          <w:rFonts w:ascii="Arial" w:hAnsi="Arial" w:cs="Arial"/>
          <w:color w:val="000000" w:themeColor="text1"/>
          <w:sz w:val="22"/>
          <w:szCs w:val="22"/>
        </w:rPr>
        <w:t>:</w:t>
      </w:r>
      <w:r w:rsidRPr="00163848">
        <w:rPr>
          <w:rFonts w:ascii="Arial" w:hAnsi="Arial" w:cs="Arial"/>
          <w:color w:val="000000" w:themeColor="text1"/>
          <w:sz w:val="22"/>
          <w:szCs w:val="22"/>
        </w:rPr>
        <w:t xml:space="preserve"> pathfinding across a century of wars, 1917-2017</w:t>
      </w:r>
      <w:r w:rsidR="001C47BB" w:rsidRPr="00163848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163848">
        <w:rPr>
          <w:rFonts w:ascii="Arial" w:hAnsi="Arial" w:cs="Arial"/>
          <w:color w:val="000000" w:themeColor="text1"/>
          <w:sz w:val="22"/>
          <w:szCs w:val="22"/>
        </w:rPr>
        <w:t xml:space="preserve"> (ARC DP170101912, $296,000) which brought together four artists with experience in working with the military and as war artists.</w:t>
      </w:r>
    </w:p>
    <w:p w14:paraId="3389A6BE" w14:textId="77777777" w:rsidR="00663E19" w:rsidRPr="00163848" w:rsidRDefault="00663E19" w:rsidP="00663E19">
      <w:pPr>
        <w:ind w:left="-284" w:right="-33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0141378" w14:textId="77777777" w:rsidR="00D527F8" w:rsidRPr="00163848" w:rsidRDefault="00663E19" w:rsidP="00663E19">
      <w:pPr>
        <w:ind w:left="-284" w:right="-33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project aim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ed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redefine war art in artistic and scholarly research. 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Its premise was that p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ublic understandings of war are significantly shaped by war art and images of war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aimed to 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investigate the artistic potential of scholars’ methodologies –timelines and the atlas form – to revise the Australian understanding of the century-long and global aftermath of war from WW1 into the present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Through presentations, papers and 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exhibitions of new art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 project investigate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how international 21st century artists explored recent wars </w:t>
      </w:r>
      <w:r w:rsidR="00D527F8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</w:t>
      </w:r>
      <w:r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produce a systematic, art historical account of international 21st century war art. </w:t>
      </w:r>
    </w:p>
    <w:p w14:paraId="0F192353" w14:textId="77777777" w:rsidR="00D527F8" w:rsidRPr="00163848" w:rsidRDefault="00D527F8" w:rsidP="00663E19">
      <w:pPr>
        <w:ind w:left="-284" w:right="-33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2C174FA" w14:textId="68911DC8" w:rsidR="002A6510" w:rsidRPr="00163848" w:rsidRDefault="00D527F8" w:rsidP="001158B9">
      <w:pPr>
        <w:ind w:left="-284" w:right="-330"/>
        <w:rPr>
          <w:rFonts w:ascii="Arial" w:hAnsi="Arial" w:cs="Arial"/>
          <w:b/>
          <w:color w:val="000000" w:themeColor="text1"/>
          <w:sz w:val="22"/>
          <w:szCs w:val="22"/>
        </w:rPr>
      </w:pPr>
      <w:r w:rsidRPr="00163848">
        <w:rPr>
          <w:rFonts w:ascii="Arial" w:hAnsi="Arial" w:cs="Arial"/>
          <w:b/>
          <w:color w:val="000000" w:themeColor="text1"/>
          <w:sz w:val="22"/>
          <w:szCs w:val="22"/>
        </w:rPr>
        <w:t>Process</w:t>
      </w:r>
    </w:p>
    <w:p w14:paraId="633DB538" w14:textId="7459213B" w:rsidR="002A6510" w:rsidRPr="00163848" w:rsidRDefault="00D527F8" w:rsidP="002A6510">
      <w:pPr>
        <w:ind w:left="-284" w:right="-330"/>
        <w:rPr>
          <w:rFonts w:ascii="Arial" w:hAnsi="Arial" w:cs="Arial"/>
          <w:b/>
          <w:color w:val="000000" w:themeColor="text1"/>
          <w:sz w:val="22"/>
          <w:szCs w:val="22"/>
        </w:rPr>
      </w:pPr>
      <w:r w:rsidRPr="00163848">
        <w:rPr>
          <w:rFonts w:ascii="Arial" w:hAnsi="Arial" w:cs="Arial"/>
          <w:bCs/>
          <w:color w:val="000000" w:themeColor="text1"/>
          <w:sz w:val="22"/>
          <w:szCs w:val="22"/>
        </w:rPr>
        <w:t xml:space="preserve">Gough worked collaboratively with the painters </w:t>
      </w:r>
      <w:r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Jon </w:t>
      </w:r>
      <w:proofErr w:type="spellStart"/>
      <w:r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Cattapan</w:t>
      </w:r>
      <w:proofErr w:type="spellEnd"/>
      <w:r w:rsidR="005A789D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,</w:t>
      </w:r>
      <w:r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Charles Green and Lyndell Green [who exhibit as one artists Green &amp; Brown] to co-author </w:t>
      </w:r>
      <w:r w:rsidR="005A789D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a number of publications, undertake fieldwork </w:t>
      </w:r>
      <w:r w:rsidR="002A6510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overseas and in Australia and to publish peer-reviewed articles such as </w:t>
      </w:r>
      <w:r w:rsidR="002A6510" w:rsidRPr="00163848">
        <w:rPr>
          <w:rFonts w:ascii="Arial" w:hAnsi="Arial" w:cs="Arial"/>
          <w:bCs/>
          <w:i/>
          <w:color w:val="000000" w:themeColor="text1"/>
          <w:sz w:val="22"/>
          <w:szCs w:val="22"/>
        </w:rPr>
        <w:t>‘</w:t>
      </w:r>
      <w:r w:rsidR="002A6510" w:rsidRPr="00163848">
        <w:rPr>
          <w:rFonts w:ascii="Arial" w:hAnsi="Arial" w:cs="Arial"/>
          <w:bCs/>
          <w:color w:val="000000" w:themeColor="text1"/>
          <w:sz w:val="22"/>
          <w:szCs w:val="22"/>
        </w:rPr>
        <w:t xml:space="preserve">Revisioning Australia’s war art: four painters as </w:t>
      </w:r>
      <w:r w:rsidR="002A6510" w:rsidRPr="00163848">
        <w:rPr>
          <w:rFonts w:ascii="Arial" w:hAnsi="Arial" w:cs="Arial"/>
          <w:bCs/>
          <w:color w:val="000000" w:themeColor="text1"/>
          <w:sz w:val="22"/>
          <w:szCs w:val="22"/>
          <w:lang w:eastAsia="en-AU"/>
        </w:rPr>
        <w:t xml:space="preserve">citizens of the ‘global South’, </w:t>
      </w:r>
      <w:r w:rsidR="002A6510" w:rsidRPr="00163848">
        <w:rPr>
          <w:rFonts w:ascii="Arial" w:hAnsi="Arial" w:cs="Arial"/>
          <w:bCs/>
          <w:i/>
          <w:color w:val="000000" w:themeColor="text1"/>
          <w:sz w:val="22"/>
          <w:szCs w:val="22"/>
          <w:lang w:eastAsia="en-AU"/>
        </w:rPr>
        <w:t xml:space="preserve">Humanities: </w:t>
      </w:r>
      <w:r w:rsidR="002A6510" w:rsidRPr="00163848">
        <w:rPr>
          <w:rFonts w:ascii="Arial" w:hAnsi="Arial" w:cs="Arial"/>
          <w:bCs/>
          <w:i/>
          <w:color w:val="000000" w:themeColor="text1"/>
          <w:kern w:val="36"/>
          <w:sz w:val="22"/>
          <w:szCs w:val="22"/>
        </w:rPr>
        <w:t xml:space="preserve">Special Issue ‘Pictures and Conflicts since 1945’, </w:t>
      </w:r>
      <w:r w:rsidR="002A6510" w:rsidRPr="00163848">
        <w:rPr>
          <w:rFonts w:ascii="Arial" w:hAnsi="Arial" w:cs="Arial"/>
          <w:bCs/>
          <w:color w:val="000000" w:themeColor="text1"/>
          <w:kern w:val="36"/>
          <w:sz w:val="22"/>
          <w:szCs w:val="22"/>
        </w:rPr>
        <w:t>2018,</w:t>
      </w:r>
      <w:r w:rsidR="002A6510" w:rsidRPr="00163848">
        <w:rPr>
          <w:rFonts w:ascii="Arial" w:hAnsi="Arial" w:cs="Arial"/>
          <w:bCs/>
          <w:i/>
          <w:color w:val="000000" w:themeColor="text1"/>
          <w:kern w:val="36"/>
          <w:sz w:val="22"/>
          <w:szCs w:val="22"/>
        </w:rPr>
        <w:t xml:space="preserve"> </w:t>
      </w:r>
      <w:r w:rsidR="002A6510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ISSN 2076-0787. Through the research grant Gough was able to undertake site work on the </w:t>
      </w:r>
      <w:r w:rsidR="00DE11F7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former </w:t>
      </w:r>
      <w:r w:rsidR="002A6510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Gallipoli battlefield in Turkey, across the Somme and Flanders </w:t>
      </w:r>
      <w:r w:rsidR="00DE11F7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battle grounds, </w:t>
      </w:r>
      <w:r w:rsidR="005F55AB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and also visit the sites of British Army occupation during the Cold War in the former Western Germany. A suite of photographs taken on this visit to the Rhine was exhibited at the </w:t>
      </w:r>
      <w:r w:rsidR="001158B9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f</w:t>
      </w:r>
      <w:r w:rsidR="005F55AB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ormer </w:t>
      </w:r>
      <w:r w:rsidR="001158B9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Australian Centre for Contemporary Art (</w:t>
      </w:r>
      <w:r w:rsidR="005F55AB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ACCA</w:t>
      </w:r>
      <w:r w:rsidR="001158B9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)</w:t>
      </w:r>
      <w:r w:rsidR="005F55AB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in Melbourne in Spring</w:t>
      </w:r>
      <w:r w:rsidR="005F55AB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2019.</w:t>
      </w:r>
    </w:p>
    <w:p w14:paraId="4FC1B760" w14:textId="515E0780" w:rsidR="00D527F8" w:rsidRPr="00163848" w:rsidRDefault="00D527F8" w:rsidP="00D527F8">
      <w:pPr>
        <w:ind w:left="-284" w:right="-33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065168" w14:textId="1B640E9B" w:rsidR="00D527F8" w:rsidRPr="00163848" w:rsidRDefault="001158B9" w:rsidP="00D527F8">
      <w:pPr>
        <w:ind w:left="-284" w:right="-33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63848">
        <w:rPr>
          <w:rFonts w:ascii="Arial" w:hAnsi="Arial" w:cs="Arial"/>
          <w:bCs/>
          <w:color w:val="000000" w:themeColor="text1"/>
          <w:sz w:val="22"/>
          <w:szCs w:val="22"/>
        </w:rPr>
        <w:t>Significance</w:t>
      </w:r>
    </w:p>
    <w:p w14:paraId="0ACEEA4F" w14:textId="2F2FCAC7" w:rsidR="00864212" w:rsidRPr="00163848" w:rsidRDefault="009D2D9C" w:rsidP="00663E19">
      <w:pPr>
        <w:ind w:left="-284" w:right="-330"/>
        <w:rPr>
          <w:rFonts w:ascii="Arial" w:hAnsi="Arial" w:cs="Arial"/>
          <w:color w:val="000000" w:themeColor="text1"/>
          <w:kern w:val="36"/>
          <w:sz w:val="22"/>
          <w:szCs w:val="22"/>
        </w:rPr>
      </w:pP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ARC Discover Grants are a highly competitive annual funding round with a</w:t>
      </w:r>
      <w:r w:rsidR="00140C8A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 average</w:t>
      </w:r>
      <w:r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success rate of 14%. </w:t>
      </w:r>
      <w:r w:rsidR="00663E19"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project aim</w:t>
      </w:r>
      <w:r w:rsidR="00807175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ed</w:t>
      </w:r>
      <w:r w:rsidR="00663E19" w:rsidRPr="00663E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provide a better understanding of Australia’s heritage and of war art</w:t>
      </w:r>
      <w:r w:rsidR="00807175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and was realised through </w:t>
      </w:r>
      <w:r w:rsidR="00F4516A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this exhibition, publications and commissions, such as the tapestry </w:t>
      </w:r>
      <w:r w:rsidR="00F4516A" w:rsidRPr="00163848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Morning Star</w:t>
      </w:r>
      <w:r w:rsidR="00F4516A" w:rsidRPr="001638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created by </w:t>
      </w:r>
      <w:r w:rsidR="00F4516A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Green &amp; Brown for the Si</w:t>
      </w:r>
      <w:r w:rsidR="009E3B61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r John Monash Centre </w:t>
      </w:r>
      <w:r w:rsidR="00140C8A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on the Somme, France, which was critiqued in</w:t>
      </w:r>
      <w:r w:rsidR="00864212" w:rsidRPr="0016384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‘</w:t>
      </w:r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>Centenary: Aftermath in the Visual Arts’ in</w:t>
      </w:r>
      <w:r w:rsidR="00864212" w:rsidRPr="00163848">
        <w:rPr>
          <w:rFonts w:ascii="Arial" w:hAnsi="Arial" w:cs="Arial"/>
          <w:i/>
          <w:iCs/>
          <w:color w:val="000000" w:themeColor="text1"/>
          <w:kern w:val="36"/>
          <w:sz w:val="22"/>
          <w:szCs w:val="22"/>
        </w:rPr>
        <w:t xml:space="preserve"> </w:t>
      </w:r>
      <w:r w:rsidR="00140C8A" w:rsidRPr="00163848">
        <w:rPr>
          <w:rFonts w:ascii="Arial" w:hAnsi="Arial" w:cs="Arial"/>
          <w:i/>
          <w:iCs/>
          <w:color w:val="000000" w:themeColor="text1"/>
          <w:kern w:val="36"/>
          <w:sz w:val="22"/>
          <w:szCs w:val="22"/>
        </w:rPr>
        <w:t xml:space="preserve">1914-1918 International </w:t>
      </w:r>
      <w:proofErr w:type="spellStart"/>
      <w:r w:rsidR="00140C8A" w:rsidRPr="00163848">
        <w:rPr>
          <w:rFonts w:ascii="Arial" w:hAnsi="Arial" w:cs="Arial"/>
          <w:i/>
          <w:iCs/>
          <w:color w:val="000000" w:themeColor="text1"/>
          <w:kern w:val="36"/>
          <w:sz w:val="22"/>
          <w:szCs w:val="22"/>
        </w:rPr>
        <w:t>Encyclopedia</w:t>
      </w:r>
      <w:proofErr w:type="spellEnd"/>
      <w:r w:rsidR="00140C8A" w:rsidRPr="00163848">
        <w:rPr>
          <w:rFonts w:ascii="Arial" w:hAnsi="Arial" w:cs="Arial"/>
          <w:i/>
          <w:iCs/>
          <w:color w:val="000000" w:themeColor="text1"/>
          <w:kern w:val="36"/>
          <w:sz w:val="22"/>
          <w:szCs w:val="22"/>
        </w:rPr>
        <w:t xml:space="preserve"> of the First World War</w:t>
      </w:r>
      <w:r w:rsidR="00140C8A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, commissioned from Gough for the peer-reviewed online resource </w:t>
      </w:r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co-ordinated by the </w:t>
      </w:r>
      <w:proofErr w:type="spellStart"/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>Freie</w:t>
      </w:r>
      <w:proofErr w:type="spellEnd"/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</w:t>
      </w:r>
      <w:proofErr w:type="spellStart"/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>Universitat</w:t>
      </w:r>
      <w:proofErr w:type="spellEnd"/>
      <w:r w:rsidR="00864212" w:rsidRPr="00163848">
        <w:rPr>
          <w:rFonts w:ascii="Arial" w:hAnsi="Arial" w:cs="Arial"/>
          <w:color w:val="000000" w:themeColor="text1"/>
          <w:kern w:val="36"/>
          <w:sz w:val="22"/>
          <w:szCs w:val="22"/>
        </w:rPr>
        <w:t>, Berlin.</w:t>
      </w:r>
    </w:p>
    <w:p w14:paraId="06F4D3F1" w14:textId="79737660" w:rsidR="00864212" w:rsidRDefault="00864212" w:rsidP="00663E19">
      <w:pPr>
        <w:ind w:left="-284" w:right="-330"/>
        <w:rPr>
          <w:rFonts w:ascii="Arial" w:hAnsi="Arial" w:cs="Arial"/>
          <w:color w:val="000000"/>
          <w:kern w:val="36"/>
        </w:rPr>
      </w:pPr>
    </w:p>
    <w:p w14:paraId="5D91390F" w14:textId="77777777" w:rsidR="00864212" w:rsidRDefault="00864212" w:rsidP="00663E19">
      <w:pPr>
        <w:ind w:left="-284" w:right="-330"/>
        <w:rPr>
          <w:rFonts w:ascii="Arial" w:hAnsi="Arial" w:cs="Arial"/>
          <w:color w:val="000000"/>
          <w:kern w:val="36"/>
        </w:rPr>
      </w:pPr>
    </w:p>
    <w:p w14:paraId="0433A4F2" w14:textId="77777777" w:rsidR="00663E19" w:rsidRPr="00BC6C0C" w:rsidRDefault="00663E19">
      <w:pPr>
        <w:rPr>
          <w:rFonts w:ascii="Arial" w:hAnsi="Arial" w:cs="Arial"/>
          <w:sz w:val="22"/>
          <w:szCs w:val="22"/>
        </w:rPr>
      </w:pPr>
    </w:p>
    <w:p w14:paraId="48E99D38" w14:textId="454141DD" w:rsidR="00663E19" w:rsidRPr="00BC6C0C" w:rsidRDefault="00663E19">
      <w:pPr>
        <w:rPr>
          <w:rFonts w:ascii="Arial" w:hAnsi="Arial" w:cs="Arial"/>
          <w:sz w:val="22"/>
          <w:szCs w:val="22"/>
        </w:rPr>
      </w:pPr>
    </w:p>
    <w:p w14:paraId="738890ED" w14:textId="77777777" w:rsidR="00663E19" w:rsidRPr="00BC6C0C" w:rsidRDefault="00663E19">
      <w:pPr>
        <w:rPr>
          <w:rFonts w:ascii="Arial" w:hAnsi="Arial" w:cs="Arial"/>
          <w:sz w:val="22"/>
          <w:szCs w:val="22"/>
        </w:rPr>
      </w:pPr>
    </w:p>
    <w:p w14:paraId="7843A19F" w14:textId="77777777" w:rsidR="00663E19" w:rsidRPr="00BC6C0C" w:rsidRDefault="00663E19">
      <w:pPr>
        <w:rPr>
          <w:rFonts w:ascii="Arial" w:hAnsi="Arial" w:cs="Arial"/>
          <w:sz w:val="22"/>
          <w:szCs w:val="22"/>
        </w:rPr>
      </w:pPr>
    </w:p>
    <w:sectPr w:rsidR="00663E19" w:rsidRPr="00BC6C0C" w:rsidSect="008957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61E16"/>
    <w:multiLevelType w:val="multilevel"/>
    <w:tmpl w:val="C23C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F8"/>
    <w:rsid w:val="001158B9"/>
    <w:rsid w:val="00140C8A"/>
    <w:rsid w:val="00163848"/>
    <w:rsid w:val="001C47BB"/>
    <w:rsid w:val="001E5888"/>
    <w:rsid w:val="002A6510"/>
    <w:rsid w:val="005A789D"/>
    <w:rsid w:val="005F55AB"/>
    <w:rsid w:val="00663E19"/>
    <w:rsid w:val="00807175"/>
    <w:rsid w:val="00864212"/>
    <w:rsid w:val="008957AE"/>
    <w:rsid w:val="009C7708"/>
    <w:rsid w:val="009D2D9C"/>
    <w:rsid w:val="009E3B61"/>
    <w:rsid w:val="00AB1EE4"/>
    <w:rsid w:val="00AD433F"/>
    <w:rsid w:val="00AF0C80"/>
    <w:rsid w:val="00BC6C0C"/>
    <w:rsid w:val="00D34569"/>
    <w:rsid w:val="00D527F8"/>
    <w:rsid w:val="00DE11F7"/>
    <w:rsid w:val="00E87FF8"/>
    <w:rsid w:val="00F0300F"/>
    <w:rsid w:val="00F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3B9F"/>
  <w15:chartTrackingRefBased/>
  <w15:docId w15:val="{EDCD5EA5-2ABC-A546-8281-6390B16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1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0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Gough</dc:creator>
  <cp:keywords/>
  <dc:description/>
  <cp:lastModifiedBy>Paul Gough</cp:lastModifiedBy>
  <cp:revision>21</cp:revision>
  <dcterms:created xsi:type="dcterms:W3CDTF">2020-02-08T09:12:00Z</dcterms:created>
  <dcterms:modified xsi:type="dcterms:W3CDTF">2020-08-28T16:19:00Z</dcterms:modified>
</cp:coreProperties>
</file>